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BE77" w14:textId="77777777" w:rsidR="0003119B" w:rsidRPr="00E13F58" w:rsidRDefault="00161231" w:rsidP="00EF6B5B">
      <w:pPr>
        <w:pStyle w:val="Heading1"/>
        <w:spacing w:before="240"/>
        <w:rPr>
          <w:rFonts w:ascii="Arial" w:hAnsi="Arial" w:cs="Arial"/>
          <w:i/>
        </w:rPr>
      </w:pPr>
      <w:bookmarkStart w:id="0" w:name="_Toc108186083"/>
      <w:r w:rsidRPr="00E13F58">
        <w:rPr>
          <w:rFonts w:ascii="Arial" w:hAnsi="Arial" w:cs="Arial"/>
        </w:rPr>
        <w:t>A</w:t>
      </w:r>
      <w:r w:rsidR="00D17CAB" w:rsidRPr="00E13F58">
        <w:rPr>
          <w:rFonts w:ascii="Arial" w:hAnsi="Arial" w:cs="Arial"/>
        </w:rPr>
        <w:t>GENCY PROFILE</w:t>
      </w:r>
      <w:bookmarkEnd w:id="0"/>
    </w:p>
    <w:p w14:paraId="3BA97A47" w14:textId="6A39935B" w:rsidR="0088456E" w:rsidRDefault="00AA0D78" w:rsidP="0088456E">
      <w:pPr>
        <w:spacing w:after="120" w:line="240" w:lineRule="auto"/>
        <w:rPr>
          <w:rFonts w:ascii="Arial" w:hAnsi="Arial" w:cs="Arial"/>
        </w:rPr>
      </w:pPr>
      <w:bookmarkStart w:id="1" w:name="_Toc108186084"/>
      <w:r>
        <w:rPr>
          <w:rFonts w:ascii="Arial" w:hAnsi="Arial" w:cs="Arial"/>
        </w:rPr>
        <w:t xml:space="preserve">The </w:t>
      </w:r>
      <w:r w:rsidR="0088456E" w:rsidRPr="00343143">
        <w:rPr>
          <w:rFonts w:ascii="Arial" w:hAnsi="Arial" w:cs="Arial"/>
        </w:rPr>
        <w:t xml:space="preserve">El Macero </w:t>
      </w:r>
      <w:r>
        <w:rPr>
          <w:rFonts w:ascii="Arial" w:hAnsi="Arial" w:cs="Arial"/>
        </w:rPr>
        <w:t xml:space="preserve">County Service Area </w:t>
      </w:r>
      <w:r w:rsidR="007D2202">
        <w:rPr>
          <w:rFonts w:ascii="Arial" w:hAnsi="Arial" w:cs="Arial"/>
        </w:rPr>
        <w:t xml:space="preserve">#1 </w:t>
      </w:r>
      <w:r>
        <w:rPr>
          <w:rFonts w:ascii="Arial" w:hAnsi="Arial" w:cs="Arial"/>
        </w:rPr>
        <w:t>(CSA)</w:t>
      </w:r>
      <w:r w:rsidR="009D08BC">
        <w:rPr>
          <w:rFonts w:ascii="Arial" w:hAnsi="Arial" w:cs="Arial"/>
        </w:rPr>
        <w:t xml:space="preserve"> </w:t>
      </w:r>
      <w:r w:rsidR="0088456E" w:rsidRPr="00343143">
        <w:rPr>
          <w:rFonts w:ascii="Arial" w:hAnsi="Arial" w:cs="Arial"/>
        </w:rPr>
        <w:t xml:space="preserve">was established on February 16, 1969 </w:t>
      </w:r>
      <w:r w:rsidR="00D26E7D" w:rsidRPr="00343143">
        <w:rPr>
          <w:rFonts w:ascii="Arial" w:hAnsi="Arial" w:cs="Arial"/>
        </w:rPr>
        <w:t>to</w:t>
      </w:r>
      <w:r w:rsidR="0088456E" w:rsidRPr="00343143">
        <w:rPr>
          <w:rFonts w:ascii="Arial" w:hAnsi="Arial" w:cs="Arial"/>
        </w:rPr>
        <w:t xml:space="preserve"> provide extended services to the El Macero </w:t>
      </w:r>
      <w:r w:rsidR="0088456E">
        <w:rPr>
          <w:rFonts w:ascii="Arial" w:hAnsi="Arial" w:cs="Arial"/>
        </w:rPr>
        <w:t>unincorporated c</w:t>
      </w:r>
      <w:r w:rsidR="0088456E" w:rsidRPr="00343143">
        <w:rPr>
          <w:rFonts w:ascii="Arial" w:hAnsi="Arial" w:cs="Arial"/>
        </w:rPr>
        <w:t xml:space="preserve">ommunity. The CSA was formed as a replacement to the El Macero Sewer Maintenance District that provided wastewater services and the El Macero Unit #1 Maintenance District that provided water services. The nature of services offered has evolved over time. At formation, the CSA was authorized to provide water, wastewater, and </w:t>
      </w:r>
      <w:r w:rsidR="0088456E">
        <w:rPr>
          <w:rFonts w:ascii="Arial" w:hAnsi="Arial" w:cs="Arial"/>
        </w:rPr>
        <w:t xml:space="preserve">storm </w:t>
      </w:r>
      <w:r w:rsidR="0088456E" w:rsidRPr="00343143">
        <w:rPr>
          <w:rFonts w:ascii="Arial" w:hAnsi="Arial" w:cs="Arial"/>
        </w:rPr>
        <w:t xml:space="preserve">drainage services that it had assumed from the former maintenance districts. In 1971, the Board </w:t>
      </w:r>
      <w:r w:rsidR="00146BB6">
        <w:rPr>
          <w:rFonts w:ascii="Arial" w:hAnsi="Arial" w:cs="Arial"/>
        </w:rPr>
        <w:t xml:space="preserve">of Supervisors (BOS) </w:t>
      </w:r>
      <w:r w:rsidR="0088456E" w:rsidRPr="00343143">
        <w:rPr>
          <w:rFonts w:ascii="Arial" w:hAnsi="Arial" w:cs="Arial"/>
        </w:rPr>
        <w:t xml:space="preserve">authorized street sweeping and street lighting services. In 1994, the </w:t>
      </w:r>
      <w:r w:rsidR="00146BB6">
        <w:rPr>
          <w:rFonts w:ascii="Arial" w:hAnsi="Arial" w:cs="Arial"/>
        </w:rPr>
        <w:t>BOS</w:t>
      </w:r>
      <w:r w:rsidR="00146BB6" w:rsidRPr="00343143">
        <w:rPr>
          <w:rFonts w:ascii="Arial" w:hAnsi="Arial" w:cs="Arial"/>
        </w:rPr>
        <w:t xml:space="preserve"> </w:t>
      </w:r>
      <w:r w:rsidR="0088456E" w:rsidRPr="00343143">
        <w:rPr>
          <w:rFonts w:ascii="Arial" w:hAnsi="Arial" w:cs="Arial"/>
        </w:rPr>
        <w:t>approved the addition of street improv</w:t>
      </w:r>
      <w:r w:rsidR="0088456E">
        <w:rPr>
          <w:rFonts w:ascii="Arial" w:hAnsi="Arial" w:cs="Arial"/>
        </w:rPr>
        <w:t>ements/</w:t>
      </w:r>
      <w:r w:rsidR="0088456E" w:rsidRPr="00343143">
        <w:rPr>
          <w:rFonts w:ascii="Arial" w:hAnsi="Arial" w:cs="Arial"/>
        </w:rPr>
        <w:t xml:space="preserve">maintenance and </w:t>
      </w:r>
      <w:r w:rsidR="0088456E">
        <w:rPr>
          <w:rFonts w:ascii="Arial" w:hAnsi="Arial" w:cs="Arial"/>
        </w:rPr>
        <w:t>street right of way landscaping work.</w:t>
      </w:r>
    </w:p>
    <w:p w14:paraId="6FC4C331" w14:textId="229DED3C" w:rsidR="0088456E" w:rsidRDefault="0088456E" w:rsidP="0088456E">
      <w:pPr>
        <w:spacing w:after="120" w:line="240" w:lineRule="auto"/>
        <w:rPr>
          <w:rFonts w:ascii="Arial" w:hAnsi="Arial" w:cs="Arial"/>
        </w:rPr>
      </w:pPr>
      <w:r w:rsidRPr="00343143">
        <w:rPr>
          <w:rFonts w:ascii="Arial" w:hAnsi="Arial" w:cs="Arial"/>
        </w:rPr>
        <w:t>El Macero CSA is located just southeast of the City of Davis, and immediately abuts the City’s boundaries. The CSA is bounded to the north by the back property lines of residential properties lying north of North El Macero Drive, Sandy Circle, and Caddy Court</w:t>
      </w:r>
      <w:r w:rsidR="00AA0D78">
        <w:rPr>
          <w:rFonts w:ascii="Arial" w:hAnsi="Arial" w:cs="Arial"/>
        </w:rPr>
        <w:t>,</w:t>
      </w:r>
      <w:r w:rsidRPr="00343143">
        <w:rPr>
          <w:rFonts w:ascii="Arial" w:hAnsi="Arial" w:cs="Arial"/>
        </w:rPr>
        <w:t xml:space="preserve"> </w:t>
      </w:r>
      <w:r w:rsidR="00AA0D78">
        <w:rPr>
          <w:rFonts w:ascii="Arial" w:hAnsi="Arial" w:cs="Arial"/>
        </w:rPr>
        <w:t xml:space="preserve">along </w:t>
      </w:r>
      <w:r w:rsidRPr="00343143">
        <w:rPr>
          <w:rFonts w:ascii="Arial" w:hAnsi="Arial" w:cs="Arial"/>
        </w:rPr>
        <w:t>the City of Davis city limits. To the east the CSA abuts the back property lines of residential properties lying east of Caddy Court East El Macero Drive, and Eagle View Court, and to the south the CSA is bounded by the back property lines of residential and County-owned properties lying south of Eagle View Court and South El Macero Drive. To the west, the CSA’s bounds are the centerline of Mace Boulevard and the City of Davis city limits.</w:t>
      </w:r>
      <w:r>
        <w:rPr>
          <w:rFonts w:ascii="Arial" w:hAnsi="Arial" w:cs="Arial"/>
        </w:rPr>
        <w:t xml:space="preserve"> </w:t>
      </w:r>
      <w:r w:rsidRPr="00343143">
        <w:rPr>
          <w:rFonts w:ascii="Arial" w:hAnsi="Arial" w:cs="Arial"/>
        </w:rPr>
        <w:t xml:space="preserve">The CSA’s </w:t>
      </w:r>
      <w:r>
        <w:rPr>
          <w:rFonts w:ascii="Arial" w:hAnsi="Arial" w:cs="Arial"/>
        </w:rPr>
        <w:t>sphere of influence (</w:t>
      </w:r>
      <w:r w:rsidRPr="00343143">
        <w:rPr>
          <w:rFonts w:ascii="Arial" w:hAnsi="Arial" w:cs="Arial"/>
        </w:rPr>
        <w:t>SOI</w:t>
      </w:r>
      <w:r>
        <w:rPr>
          <w:rFonts w:ascii="Arial" w:hAnsi="Arial" w:cs="Arial"/>
        </w:rPr>
        <w:t>)</w:t>
      </w:r>
      <w:r w:rsidRPr="00343143">
        <w:rPr>
          <w:rFonts w:ascii="Arial" w:hAnsi="Arial" w:cs="Arial"/>
        </w:rPr>
        <w:t xml:space="preserve"> is coterminous with its boundaries.</w:t>
      </w:r>
    </w:p>
    <w:p w14:paraId="1EE38100" w14:textId="77777777" w:rsidR="005A0A10" w:rsidRDefault="005A0A10" w:rsidP="0088456E">
      <w:pPr>
        <w:spacing w:after="120" w:line="240" w:lineRule="auto"/>
        <w:rPr>
          <w:rFonts w:ascii="Arial" w:hAnsi="Arial" w:cs="Arial"/>
        </w:rPr>
      </w:pPr>
    </w:p>
    <w:p w14:paraId="76DB8337" w14:textId="6E985909" w:rsidR="0088456E" w:rsidRDefault="005A0A10" w:rsidP="0088456E">
      <w:pPr>
        <w:spacing w:after="120" w:line="240" w:lineRule="auto"/>
        <w:jc w:val="center"/>
        <w:rPr>
          <w:rFonts w:ascii="Arial" w:hAnsi="Arial" w:cs="Arial"/>
        </w:rPr>
      </w:pPr>
      <w:r>
        <w:rPr>
          <w:noProof/>
        </w:rPr>
        <w:drawing>
          <wp:inline distT="0" distB="0" distL="0" distR="0" wp14:anchorId="659C91C6" wp14:editId="52B3E6E7">
            <wp:extent cx="5943600" cy="4570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570095"/>
                    </a:xfrm>
                    <a:prstGeom prst="rect">
                      <a:avLst/>
                    </a:prstGeom>
                  </pic:spPr>
                </pic:pic>
              </a:graphicData>
            </a:graphic>
          </wp:inline>
        </w:drawing>
      </w:r>
    </w:p>
    <w:p w14:paraId="0F3403FF" w14:textId="7B3389D9" w:rsidR="005A0A10" w:rsidRDefault="005A0A10" w:rsidP="005A0A10">
      <w:pPr>
        <w:spacing w:after="120" w:line="240" w:lineRule="auto"/>
        <w:rPr>
          <w:rFonts w:ascii="Arial" w:hAnsi="Arial" w:cs="Arial"/>
        </w:rPr>
      </w:pPr>
      <w:r>
        <w:rPr>
          <w:rFonts w:ascii="Arial" w:hAnsi="Arial" w:cs="Arial"/>
        </w:rPr>
        <w:t xml:space="preserve">The CSA includes </w:t>
      </w:r>
      <w:r w:rsidRPr="00343143">
        <w:rPr>
          <w:rFonts w:ascii="Arial" w:hAnsi="Arial" w:cs="Arial"/>
        </w:rPr>
        <w:t xml:space="preserve">410 parcels zoned for single family homes, </w:t>
      </w:r>
      <w:r w:rsidRPr="00354344">
        <w:rPr>
          <w:rFonts w:ascii="Arial" w:hAnsi="Arial" w:cs="Arial"/>
        </w:rPr>
        <w:t>53 parcels zoned for multi-family residences along with their associated common areas,</w:t>
      </w:r>
      <w:r w:rsidRPr="00343143">
        <w:rPr>
          <w:rFonts w:ascii="Arial" w:hAnsi="Arial" w:cs="Arial"/>
        </w:rPr>
        <w:t xml:space="preserve"> the El Macero Country Club and three County-owned parcels. </w:t>
      </w:r>
      <w:r w:rsidRPr="0088456E">
        <w:rPr>
          <w:rFonts w:ascii="Arial" w:hAnsi="Arial" w:cs="Arial"/>
        </w:rPr>
        <w:lastRenderedPageBreak/>
        <w:t>In 2015, the County approved a 16-unit townhome development on previous El Macero Country Club corporation yard area</w:t>
      </w:r>
      <w:r>
        <w:rPr>
          <w:rFonts w:ascii="Arial" w:hAnsi="Arial" w:cs="Arial"/>
        </w:rPr>
        <w:t xml:space="preserve"> that </w:t>
      </w:r>
      <w:r w:rsidRPr="0088456E">
        <w:rPr>
          <w:rFonts w:ascii="Arial" w:hAnsi="Arial" w:cs="Arial"/>
        </w:rPr>
        <w:t xml:space="preserve">do not </w:t>
      </w:r>
      <w:r w:rsidR="00AA0D78">
        <w:rPr>
          <w:rFonts w:ascii="Arial" w:hAnsi="Arial" w:cs="Arial"/>
        </w:rPr>
        <w:t>receive</w:t>
      </w:r>
      <w:r w:rsidR="00AA0D78" w:rsidRPr="0088456E">
        <w:rPr>
          <w:rFonts w:ascii="Arial" w:hAnsi="Arial" w:cs="Arial"/>
        </w:rPr>
        <w:t xml:space="preserve"> </w:t>
      </w:r>
      <w:r w:rsidRPr="0088456E">
        <w:rPr>
          <w:rFonts w:ascii="Arial" w:hAnsi="Arial" w:cs="Arial"/>
        </w:rPr>
        <w:t xml:space="preserve">services </w:t>
      </w:r>
      <w:r w:rsidR="00AA0D78">
        <w:rPr>
          <w:rFonts w:ascii="Arial" w:hAnsi="Arial" w:cs="Arial"/>
        </w:rPr>
        <w:t xml:space="preserve">through the CSA </w:t>
      </w:r>
      <w:r w:rsidRPr="0088456E">
        <w:rPr>
          <w:rFonts w:ascii="Arial" w:hAnsi="Arial" w:cs="Arial"/>
        </w:rPr>
        <w:t xml:space="preserve">even though the land </w:t>
      </w:r>
      <w:r>
        <w:rPr>
          <w:rFonts w:ascii="Arial" w:hAnsi="Arial" w:cs="Arial"/>
        </w:rPr>
        <w:t xml:space="preserve">is </w:t>
      </w:r>
      <w:r w:rsidRPr="0088456E">
        <w:rPr>
          <w:rFonts w:ascii="Arial" w:hAnsi="Arial" w:cs="Arial"/>
        </w:rPr>
        <w:t>included in the CSA boundary.</w:t>
      </w:r>
      <w:r>
        <w:rPr>
          <w:rFonts w:ascii="Arial" w:hAnsi="Arial" w:cs="Arial"/>
        </w:rPr>
        <w:t xml:space="preserve"> </w:t>
      </w:r>
      <w:r w:rsidRPr="004D3961">
        <w:rPr>
          <w:rFonts w:ascii="Arial" w:hAnsi="Arial" w:cs="Arial"/>
        </w:rPr>
        <w:t xml:space="preserve">In 2020, LAFCo approved an extension of water and sewer services to 27384 Eagle View Court (APN 033-011-024) due to health and safety reasons. </w:t>
      </w:r>
      <w:r>
        <w:rPr>
          <w:rFonts w:ascii="Arial" w:hAnsi="Arial" w:cs="Arial"/>
        </w:rPr>
        <w:t xml:space="preserve">On September 22, 2022 LAFCo approved a CSA SOI amendment and annexation of this parcel into the CSA. </w:t>
      </w:r>
    </w:p>
    <w:p w14:paraId="5E45D81A" w14:textId="380F2F21" w:rsidR="0088456E" w:rsidRPr="00343143" w:rsidRDefault="00456E02" w:rsidP="0088456E">
      <w:pPr>
        <w:spacing w:after="120" w:line="240" w:lineRule="auto"/>
        <w:rPr>
          <w:rFonts w:ascii="Arial" w:hAnsi="Arial" w:cs="Arial"/>
        </w:rPr>
      </w:pPr>
      <w:r>
        <w:rPr>
          <w:rFonts w:ascii="Arial" w:hAnsi="Arial" w:cs="Arial"/>
        </w:rPr>
        <w:t>El Macero</w:t>
      </w:r>
      <w:r w:rsidRPr="00456E02">
        <w:rPr>
          <w:rFonts w:ascii="Arial" w:hAnsi="Arial" w:cs="Arial"/>
        </w:rPr>
        <w:t xml:space="preserve"> CSA is governed by the BOS and is treated as a special district under the LAFCo Law.</w:t>
      </w:r>
      <w:r w:rsidR="0088456E" w:rsidRPr="00343143">
        <w:rPr>
          <w:rFonts w:ascii="Arial" w:hAnsi="Arial" w:cs="Arial"/>
        </w:rPr>
        <w:t xml:space="preserve"> The </w:t>
      </w:r>
      <w:r w:rsidR="00146BB6">
        <w:rPr>
          <w:rFonts w:ascii="Arial" w:hAnsi="Arial" w:cs="Arial"/>
        </w:rPr>
        <w:t>BOS</w:t>
      </w:r>
      <w:r w:rsidR="00146BB6" w:rsidRPr="00343143">
        <w:rPr>
          <w:rFonts w:ascii="Arial" w:hAnsi="Arial" w:cs="Arial"/>
        </w:rPr>
        <w:t xml:space="preserve"> </w:t>
      </w:r>
      <w:r w:rsidR="0088456E" w:rsidRPr="00343143">
        <w:rPr>
          <w:rFonts w:ascii="Arial" w:hAnsi="Arial" w:cs="Arial"/>
        </w:rPr>
        <w:t xml:space="preserve">is advised as to the maintenance and operation of the CSA by </w:t>
      </w:r>
      <w:r w:rsidR="0088456E">
        <w:rPr>
          <w:rFonts w:ascii="Arial" w:hAnsi="Arial" w:cs="Arial"/>
        </w:rPr>
        <w:t>a five-member advisory</w:t>
      </w:r>
      <w:r w:rsidR="0088456E" w:rsidRPr="00343143">
        <w:rPr>
          <w:rFonts w:ascii="Arial" w:hAnsi="Arial" w:cs="Arial"/>
        </w:rPr>
        <w:t xml:space="preserve"> </w:t>
      </w:r>
      <w:r w:rsidR="0088456E">
        <w:rPr>
          <w:rFonts w:ascii="Arial" w:hAnsi="Arial" w:cs="Arial"/>
        </w:rPr>
        <w:t>c</w:t>
      </w:r>
      <w:r w:rsidR="0088456E" w:rsidRPr="00343143">
        <w:rPr>
          <w:rFonts w:ascii="Arial" w:hAnsi="Arial" w:cs="Arial"/>
        </w:rPr>
        <w:t>ommittee</w:t>
      </w:r>
      <w:r w:rsidR="0088456E" w:rsidRPr="00ED2EC9">
        <w:rPr>
          <w:rFonts w:ascii="Arial" w:hAnsi="Arial" w:cs="Arial"/>
        </w:rPr>
        <w:t xml:space="preserve"> </w:t>
      </w:r>
      <w:r w:rsidR="0088456E" w:rsidRPr="00185EC6">
        <w:rPr>
          <w:rFonts w:ascii="Arial" w:hAnsi="Arial" w:cs="Arial"/>
        </w:rPr>
        <w:t>comp</w:t>
      </w:r>
      <w:r w:rsidR="0088456E">
        <w:rPr>
          <w:rFonts w:ascii="Arial" w:hAnsi="Arial" w:cs="Arial"/>
        </w:rPr>
        <w:t>rised</w:t>
      </w:r>
      <w:r w:rsidR="0088456E" w:rsidRPr="00185EC6">
        <w:rPr>
          <w:rFonts w:ascii="Arial" w:hAnsi="Arial" w:cs="Arial"/>
        </w:rPr>
        <w:t xml:space="preserve"> of local </w:t>
      </w:r>
      <w:r w:rsidR="0088456E">
        <w:rPr>
          <w:rFonts w:ascii="Arial" w:hAnsi="Arial" w:cs="Arial"/>
        </w:rPr>
        <w:t>El Macero</w:t>
      </w:r>
      <w:r w:rsidR="0088456E" w:rsidRPr="00185EC6">
        <w:rPr>
          <w:rFonts w:ascii="Arial" w:hAnsi="Arial" w:cs="Arial"/>
        </w:rPr>
        <w:t xml:space="preserve"> residents who are appointed to the committee by the </w:t>
      </w:r>
      <w:r w:rsidR="0088456E">
        <w:rPr>
          <w:rFonts w:ascii="Arial" w:hAnsi="Arial" w:cs="Arial"/>
        </w:rPr>
        <w:t>BOS</w:t>
      </w:r>
      <w:r w:rsidR="0088456E" w:rsidRPr="00343143">
        <w:rPr>
          <w:rFonts w:ascii="Arial" w:hAnsi="Arial" w:cs="Arial"/>
        </w:rPr>
        <w:t>. Th</w:t>
      </w:r>
      <w:r w:rsidR="0088456E">
        <w:rPr>
          <w:rFonts w:ascii="Arial" w:hAnsi="Arial" w:cs="Arial"/>
        </w:rPr>
        <w:t>e</w:t>
      </w:r>
      <w:r w:rsidR="0088456E" w:rsidRPr="00343143">
        <w:rPr>
          <w:rFonts w:ascii="Arial" w:hAnsi="Arial" w:cs="Arial"/>
        </w:rPr>
        <w:t xml:space="preserve"> advisory committee meets on a regular basis to discuss the ongoing issues pertinent to the El Macero CSA. </w:t>
      </w:r>
      <w:r w:rsidR="0088456E" w:rsidRPr="00A73D81">
        <w:rPr>
          <w:rFonts w:ascii="Arial" w:hAnsi="Arial" w:cs="Arial"/>
        </w:rPr>
        <w:t xml:space="preserve">As directed by California Government Code Section 25212.4, the advisory committee’s role is to provide advice to the </w:t>
      </w:r>
      <w:r w:rsidR="0088456E">
        <w:rPr>
          <w:rFonts w:ascii="Arial" w:hAnsi="Arial" w:cs="Arial"/>
        </w:rPr>
        <w:t>BOS</w:t>
      </w:r>
      <w:r w:rsidR="0088456E" w:rsidRPr="00A73D81">
        <w:rPr>
          <w:rFonts w:ascii="Arial" w:hAnsi="Arial" w:cs="Arial"/>
        </w:rPr>
        <w:t xml:space="preserve"> regarding the services and facilities of the CSA, but it is not within the authority of the advisory committee to make decisions, manage, or direct the delivery of services and facilities.</w:t>
      </w:r>
      <w:r w:rsidR="0088456E" w:rsidRPr="00343143">
        <w:rPr>
          <w:rFonts w:ascii="Arial" w:hAnsi="Arial" w:cs="Arial"/>
        </w:rPr>
        <w:t xml:space="preserve"> </w:t>
      </w:r>
    </w:p>
    <w:p w14:paraId="388058DA" w14:textId="77777777" w:rsidR="0088456E" w:rsidRDefault="0088456E" w:rsidP="0088456E">
      <w:pPr>
        <w:spacing w:after="120" w:line="240" w:lineRule="auto"/>
        <w:rPr>
          <w:rFonts w:ascii="Arial" w:hAnsi="Arial" w:cs="Arial"/>
        </w:rPr>
      </w:pPr>
      <w:r w:rsidRPr="00343143">
        <w:rPr>
          <w:rFonts w:ascii="Arial" w:hAnsi="Arial" w:cs="Arial"/>
        </w:rPr>
        <w:t>The CSA is currently staffed</w:t>
      </w:r>
      <w:r>
        <w:rPr>
          <w:rFonts w:ascii="Arial" w:hAnsi="Arial" w:cs="Arial"/>
        </w:rPr>
        <w:t xml:space="preserve"> and managed</w:t>
      </w:r>
      <w:r w:rsidRPr="00343143">
        <w:rPr>
          <w:rFonts w:ascii="Arial" w:hAnsi="Arial" w:cs="Arial"/>
        </w:rPr>
        <w:t xml:space="preserve"> by the </w:t>
      </w:r>
      <w:r>
        <w:rPr>
          <w:rFonts w:ascii="Arial" w:hAnsi="Arial" w:cs="Arial"/>
        </w:rPr>
        <w:t xml:space="preserve">County’s </w:t>
      </w:r>
      <w:r w:rsidRPr="00343143">
        <w:rPr>
          <w:rFonts w:ascii="Arial" w:hAnsi="Arial" w:cs="Arial"/>
        </w:rPr>
        <w:t>Department of Community Services</w:t>
      </w:r>
      <w:r>
        <w:rPr>
          <w:rFonts w:ascii="Arial" w:hAnsi="Arial" w:cs="Arial"/>
        </w:rPr>
        <w:t xml:space="preserve">. The CSA </w:t>
      </w:r>
      <w:r w:rsidRPr="00343143">
        <w:rPr>
          <w:rFonts w:ascii="Arial" w:hAnsi="Arial" w:cs="Arial"/>
        </w:rPr>
        <w:t xml:space="preserve">is billed for </w:t>
      </w:r>
      <w:r>
        <w:rPr>
          <w:rFonts w:ascii="Arial" w:hAnsi="Arial" w:cs="Arial"/>
        </w:rPr>
        <w:t xml:space="preserve">the </w:t>
      </w:r>
      <w:r w:rsidRPr="00343143">
        <w:rPr>
          <w:rFonts w:ascii="Arial" w:hAnsi="Arial" w:cs="Arial"/>
        </w:rPr>
        <w:t xml:space="preserve">staff time of the CSA </w:t>
      </w:r>
      <w:r>
        <w:rPr>
          <w:rFonts w:ascii="Arial" w:hAnsi="Arial" w:cs="Arial"/>
        </w:rPr>
        <w:t>administrative support team</w:t>
      </w:r>
      <w:r w:rsidRPr="00343143">
        <w:rPr>
          <w:rFonts w:ascii="Arial" w:hAnsi="Arial" w:cs="Arial"/>
        </w:rPr>
        <w:t xml:space="preserve">, </w:t>
      </w:r>
      <w:r>
        <w:rPr>
          <w:rFonts w:ascii="Arial" w:hAnsi="Arial" w:cs="Arial"/>
        </w:rPr>
        <w:t xml:space="preserve">the County </w:t>
      </w:r>
      <w:r w:rsidRPr="00343143">
        <w:rPr>
          <w:rFonts w:ascii="Arial" w:hAnsi="Arial" w:cs="Arial"/>
        </w:rPr>
        <w:t>finance staff, and County legal counsel</w:t>
      </w:r>
      <w:r>
        <w:rPr>
          <w:rFonts w:ascii="Arial" w:hAnsi="Arial" w:cs="Arial"/>
        </w:rPr>
        <w:t>,</w:t>
      </w:r>
      <w:r w:rsidRPr="00343143">
        <w:rPr>
          <w:rFonts w:ascii="Arial" w:hAnsi="Arial" w:cs="Arial"/>
        </w:rPr>
        <w:t xml:space="preserve"> w</w:t>
      </w:r>
      <w:r>
        <w:rPr>
          <w:rFonts w:ascii="Arial" w:hAnsi="Arial" w:cs="Arial"/>
        </w:rPr>
        <w:t>hen such services are utilized.</w:t>
      </w:r>
    </w:p>
    <w:p w14:paraId="153D949F" w14:textId="77777777" w:rsidR="0018424A" w:rsidRPr="00E13F58" w:rsidRDefault="0018424A" w:rsidP="009C4EF7">
      <w:pPr>
        <w:pStyle w:val="Heading1"/>
        <w:rPr>
          <w:rFonts w:ascii="Arial" w:hAnsi="Arial" w:cs="Arial"/>
          <w:i/>
        </w:rPr>
      </w:pPr>
      <w:r w:rsidRPr="00E13F58">
        <w:rPr>
          <w:rFonts w:ascii="Arial" w:hAnsi="Arial" w:cs="Arial"/>
        </w:rPr>
        <w:t>MUNICIPAL SERVICE REVIEW</w:t>
      </w:r>
      <w:bookmarkEnd w:id="1"/>
    </w:p>
    <w:p w14:paraId="767B5B92" w14:textId="323C036D" w:rsidR="00AE605B" w:rsidRPr="00AE605B" w:rsidRDefault="00AE605B" w:rsidP="007B58F3">
      <w:pPr>
        <w:pStyle w:val="Heading2"/>
        <w:rPr>
          <w:rFonts w:eastAsia="Times New Roman"/>
        </w:rPr>
      </w:pPr>
      <w:bookmarkStart w:id="2" w:name="_Toc108186085"/>
      <w:r w:rsidRPr="00AE605B">
        <w:rPr>
          <w:rFonts w:eastAsia="Times New Roman"/>
        </w:rPr>
        <w:t>P</w:t>
      </w:r>
      <w:r w:rsidR="005D4AC7">
        <w:rPr>
          <w:rFonts w:eastAsia="Times New Roman"/>
        </w:rPr>
        <w:t xml:space="preserve">otentially Significant </w:t>
      </w:r>
      <w:r w:rsidRPr="00AE605B">
        <w:rPr>
          <w:rFonts w:eastAsia="Times New Roman"/>
        </w:rPr>
        <w:t>MSR D</w:t>
      </w:r>
      <w:r w:rsidR="005D4AC7">
        <w:rPr>
          <w:rFonts w:eastAsia="Times New Roman"/>
        </w:rPr>
        <w:t>eterminations</w:t>
      </w:r>
      <w:bookmarkEnd w:id="2"/>
    </w:p>
    <w:p w14:paraId="06A11FF1" w14:textId="046BD5B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 xml:space="preserve">The MSR determinations checked below are potentially significant, as indicated by answers to the key policy questions in the checklist and corresponding discussion on the following pages. If most or </w:t>
      </w:r>
      <w:proofErr w:type="gramStart"/>
      <w:r w:rsidRPr="00AE605B">
        <w:rPr>
          <w:rFonts w:ascii="Arial" w:eastAsia="Times New Roman" w:hAnsi="Arial" w:cs="Arial"/>
        </w:rPr>
        <w:t>all of</w:t>
      </w:r>
      <w:proofErr w:type="gramEnd"/>
      <w:r w:rsidRPr="00AE605B">
        <w:rPr>
          <w:rFonts w:ascii="Arial" w:eastAsia="Times New Roman" w:hAnsi="Arial" w:cs="Arial"/>
        </w:rPr>
        <w:t xml:space="preserve"> the determinations are not significant, as indicated by “no” answers, the Commission may find that a MSR update is not warranted.</w:t>
      </w:r>
    </w:p>
    <w:tbl>
      <w:tblPr>
        <w:tblW w:w="9360" w:type="dxa"/>
        <w:tblLayout w:type="fixed"/>
        <w:tblLook w:val="0000" w:firstRow="0" w:lastRow="0" w:firstColumn="0" w:lastColumn="0" w:noHBand="0" w:noVBand="0"/>
      </w:tblPr>
      <w:tblGrid>
        <w:gridCol w:w="558"/>
        <w:gridCol w:w="4302"/>
        <w:gridCol w:w="450"/>
        <w:gridCol w:w="4050"/>
      </w:tblGrid>
      <w:tr w:rsidR="00B9168F" w:rsidRPr="00AE605B" w14:paraId="1F4099D2" w14:textId="77777777" w:rsidTr="009762DA">
        <w:trPr>
          <w:trHeight w:val="360"/>
        </w:trPr>
        <w:tc>
          <w:tcPr>
            <w:tcW w:w="558" w:type="dxa"/>
            <w:vAlign w:val="center"/>
          </w:tcPr>
          <w:p w14:paraId="6E531213" w14:textId="77777777" w:rsidR="00B9168F" w:rsidRPr="00AE605B" w:rsidRDefault="00B9168F" w:rsidP="006626CB">
            <w:pPr>
              <w:spacing w:after="120" w:line="240" w:lineRule="auto"/>
              <w:rPr>
                <w:rFonts w:ascii="Arial" w:eastAsia="Times New Roman" w:hAnsi="Arial" w:cs="Arial"/>
                <w:i/>
              </w:rPr>
            </w:pPr>
            <w:r>
              <w:rPr>
                <w:rFonts w:ascii="Arial" w:eastAsia="Times New Roman" w:hAnsi="Arial" w:cs="Arial"/>
                <w:i/>
              </w:rPr>
              <w:fldChar w:fldCharType="begin">
                <w:ffData>
                  <w:name w:val=""/>
                  <w:enabled/>
                  <w:calcOnExit w:val="0"/>
                  <w:checkBox>
                    <w:sizeAuto/>
                    <w:default w:val="0"/>
                  </w:checkBox>
                </w:ffData>
              </w:fldChar>
            </w:r>
            <w:r>
              <w:rPr>
                <w:rFonts w:ascii="Arial" w:eastAsia="Times New Roman" w:hAnsi="Arial" w:cs="Arial"/>
                <w:i/>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Pr>
                <w:rFonts w:ascii="Arial" w:eastAsia="Times New Roman" w:hAnsi="Arial" w:cs="Arial"/>
                <w:i/>
              </w:rPr>
              <w:fldChar w:fldCharType="end"/>
            </w:r>
          </w:p>
        </w:tc>
        <w:tc>
          <w:tcPr>
            <w:tcW w:w="4302" w:type="dxa"/>
            <w:vAlign w:val="center"/>
          </w:tcPr>
          <w:p w14:paraId="03E96595"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Growth and Population</w:t>
            </w:r>
          </w:p>
        </w:tc>
        <w:tc>
          <w:tcPr>
            <w:tcW w:w="450" w:type="dxa"/>
            <w:vAlign w:val="center"/>
          </w:tcPr>
          <w:p w14:paraId="2BEAB037"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i/>
              </w:rPr>
              <w:fldChar w:fldCharType="begin">
                <w:ffData>
                  <w:name w:val=""/>
                  <w:enabled/>
                  <w:calcOnExit w:val="0"/>
                  <w:checkBox>
                    <w:sizeAuto/>
                    <w:default w:val="0"/>
                    <w:checked w:val="0"/>
                  </w:checkBox>
                </w:ffData>
              </w:fldChar>
            </w:r>
            <w:r w:rsidRPr="00AE605B">
              <w:rPr>
                <w:rFonts w:ascii="Arial" w:eastAsia="Times New Roman" w:hAnsi="Arial" w:cs="Arial"/>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sidRPr="00AE605B">
              <w:rPr>
                <w:rFonts w:ascii="Arial" w:eastAsia="Times New Roman" w:hAnsi="Arial" w:cs="Arial"/>
                <w:i/>
              </w:rPr>
              <w:fldChar w:fldCharType="end"/>
            </w:r>
          </w:p>
        </w:tc>
        <w:tc>
          <w:tcPr>
            <w:tcW w:w="4050" w:type="dxa"/>
            <w:vAlign w:val="center"/>
          </w:tcPr>
          <w:p w14:paraId="6576F277"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Shared Services</w:t>
            </w:r>
          </w:p>
        </w:tc>
      </w:tr>
      <w:tr w:rsidR="00B9168F" w:rsidRPr="00AE605B" w14:paraId="2CD33F7A" w14:textId="77777777" w:rsidTr="009762DA">
        <w:trPr>
          <w:trHeight w:val="360"/>
        </w:trPr>
        <w:tc>
          <w:tcPr>
            <w:tcW w:w="558" w:type="dxa"/>
            <w:vAlign w:val="center"/>
          </w:tcPr>
          <w:p w14:paraId="0C59D7EC"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i/>
              </w:rPr>
              <w:fldChar w:fldCharType="begin">
                <w:ffData>
                  <w:name w:val="Check1"/>
                  <w:enabled/>
                  <w:calcOnExit w:val="0"/>
                  <w:checkBox>
                    <w:sizeAuto/>
                    <w:default w:val="0"/>
                  </w:checkBox>
                </w:ffData>
              </w:fldChar>
            </w:r>
            <w:bookmarkStart w:id="3" w:name="Check1"/>
            <w:r w:rsidRPr="00AE605B">
              <w:rPr>
                <w:rFonts w:ascii="Arial" w:eastAsia="Times New Roman" w:hAnsi="Arial" w:cs="Arial"/>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sidRPr="00AE605B">
              <w:rPr>
                <w:rFonts w:ascii="Arial" w:eastAsia="Times New Roman" w:hAnsi="Arial" w:cs="Arial"/>
                <w:i/>
              </w:rPr>
              <w:fldChar w:fldCharType="end"/>
            </w:r>
            <w:bookmarkEnd w:id="3"/>
          </w:p>
        </w:tc>
        <w:tc>
          <w:tcPr>
            <w:tcW w:w="4302" w:type="dxa"/>
            <w:vAlign w:val="center"/>
          </w:tcPr>
          <w:p w14:paraId="6DBD28E9"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Disadvantaged Unincorporated Communities</w:t>
            </w:r>
          </w:p>
        </w:tc>
        <w:tc>
          <w:tcPr>
            <w:tcW w:w="450" w:type="dxa"/>
            <w:vAlign w:val="center"/>
          </w:tcPr>
          <w:p w14:paraId="0CD76AFC" w14:textId="6D4F1CE8" w:rsidR="00B9168F" w:rsidRPr="00AE605B" w:rsidRDefault="00D1368D" w:rsidP="006626CB">
            <w:pPr>
              <w:spacing w:after="120" w:line="240" w:lineRule="auto"/>
              <w:rPr>
                <w:rFonts w:ascii="Arial" w:eastAsia="Times New Roman" w:hAnsi="Arial" w:cs="Arial"/>
                <w:i/>
              </w:rPr>
            </w:pPr>
            <w:r>
              <w:rPr>
                <w:rFonts w:ascii="Arial" w:eastAsia="Times New Roman" w:hAnsi="Arial" w:cs="Arial"/>
                <w:i/>
              </w:rPr>
              <w:fldChar w:fldCharType="begin">
                <w:ffData>
                  <w:name w:val=""/>
                  <w:enabled/>
                  <w:calcOnExit w:val="0"/>
                  <w:checkBox>
                    <w:sizeAuto/>
                    <w:default w:val="1"/>
                  </w:checkBox>
                </w:ffData>
              </w:fldChar>
            </w:r>
            <w:r>
              <w:rPr>
                <w:rFonts w:ascii="Arial" w:eastAsia="Times New Roman" w:hAnsi="Arial" w:cs="Arial"/>
                <w:i/>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Pr>
                <w:rFonts w:ascii="Arial" w:eastAsia="Times New Roman" w:hAnsi="Arial" w:cs="Arial"/>
                <w:i/>
              </w:rPr>
              <w:fldChar w:fldCharType="end"/>
            </w:r>
          </w:p>
        </w:tc>
        <w:tc>
          <w:tcPr>
            <w:tcW w:w="4050" w:type="dxa"/>
            <w:vAlign w:val="center"/>
          </w:tcPr>
          <w:p w14:paraId="3F2FEE3C" w14:textId="32F382DA"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Accountability</w:t>
            </w:r>
            <w:r w:rsidR="00652EBE" w:rsidRPr="00652EBE">
              <w:rPr>
                <w:rFonts w:ascii="Arial" w:eastAsia="Times New Roman" w:hAnsi="Arial" w:cs="Arial"/>
              </w:rPr>
              <w:t>, Structure, and Efficiencies</w:t>
            </w:r>
          </w:p>
        </w:tc>
      </w:tr>
      <w:tr w:rsidR="00B9168F" w:rsidRPr="00AE605B" w14:paraId="3E4923BD" w14:textId="77777777" w:rsidTr="009762DA">
        <w:trPr>
          <w:trHeight w:val="360"/>
        </w:trPr>
        <w:tc>
          <w:tcPr>
            <w:tcW w:w="558" w:type="dxa"/>
            <w:vAlign w:val="center"/>
          </w:tcPr>
          <w:p w14:paraId="3F36F054" w14:textId="520E2F77" w:rsidR="00B9168F" w:rsidRPr="00AE605B" w:rsidRDefault="00240498" w:rsidP="006626CB">
            <w:pPr>
              <w:spacing w:after="120" w:line="240" w:lineRule="auto"/>
              <w:rPr>
                <w:rFonts w:ascii="Arial" w:eastAsia="Times New Roman" w:hAnsi="Arial" w:cs="Arial"/>
                <w:i/>
              </w:rPr>
            </w:pPr>
            <w:r>
              <w:rPr>
                <w:rFonts w:ascii="Arial" w:eastAsia="Times New Roman" w:hAnsi="Arial" w:cs="Arial"/>
                <w:i/>
              </w:rPr>
              <w:fldChar w:fldCharType="begin">
                <w:ffData>
                  <w:name w:val=""/>
                  <w:enabled/>
                  <w:calcOnExit w:val="0"/>
                  <w:checkBox>
                    <w:sizeAuto/>
                    <w:default w:val="1"/>
                  </w:checkBox>
                </w:ffData>
              </w:fldChar>
            </w:r>
            <w:r>
              <w:rPr>
                <w:rFonts w:ascii="Arial" w:eastAsia="Times New Roman" w:hAnsi="Arial" w:cs="Arial"/>
                <w:i/>
              </w:rPr>
              <w:instrText xml:space="preserve"> FORMCHECKBOX </w:instrText>
            </w:r>
            <w:r>
              <w:rPr>
                <w:rFonts w:ascii="Arial" w:eastAsia="Times New Roman" w:hAnsi="Arial" w:cs="Arial"/>
                <w:i/>
              </w:rPr>
            </w:r>
            <w:r>
              <w:rPr>
                <w:rFonts w:ascii="Arial" w:eastAsia="Times New Roman" w:hAnsi="Arial" w:cs="Arial"/>
                <w:i/>
              </w:rPr>
              <w:fldChar w:fldCharType="end"/>
            </w:r>
          </w:p>
        </w:tc>
        <w:tc>
          <w:tcPr>
            <w:tcW w:w="4302" w:type="dxa"/>
            <w:vAlign w:val="center"/>
          </w:tcPr>
          <w:p w14:paraId="39AEAB85"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Capacity, Adequacy &amp; Infrastructure to Provide Services</w:t>
            </w:r>
          </w:p>
        </w:tc>
        <w:tc>
          <w:tcPr>
            <w:tcW w:w="450" w:type="dxa"/>
            <w:vAlign w:val="center"/>
          </w:tcPr>
          <w:p w14:paraId="7CF6E175" w14:textId="0F75359F" w:rsidR="00B9168F" w:rsidRPr="00AE605B" w:rsidRDefault="00B9168F" w:rsidP="006626CB">
            <w:pPr>
              <w:spacing w:after="120" w:line="240" w:lineRule="auto"/>
              <w:rPr>
                <w:rFonts w:ascii="Arial" w:eastAsia="Times New Roman" w:hAnsi="Arial" w:cs="Arial"/>
                <w:i/>
              </w:rPr>
            </w:pPr>
            <w:r>
              <w:rPr>
                <w:rFonts w:ascii="Arial" w:eastAsia="Times New Roman" w:hAnsi="Arial" w:cs="Arial"/>
                <w:i/>
              </w:rPr>
              <w:fldChar w:fldCharType="begin">
                <w:ffData>
                  <w:name w:val=""/>
                  <w:enabled/>
                  <w:calcOnExit w:val="0"/>
                  <w:checkBox>
                    <w:sizeAuto/>
                    <w:default w:val="0"/>
                  </w:checkBox>
                </w:ffData>
              </w:fldChar>
            </w:r>
            <w:r>
              <w:rPr>
                <w:rFonts w:ascii="Arial" w:eastAsia="Times New Roman" w:hAnsi="Arial" w:cs="Arial"/>
                <w:i/>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Pr>
                <w:rFonts w:ascii="Arial" w:eastAsia="Times New Roman" w:hAnsi="Arial" w:cs="Arial"/>
                <w:i/>
              </w:rPr>
              <w:fldChar w:fldCharType="end"/>
            </w:r>
          </w:p>
        </w:tc>
        <w:tc>
          <w:tcPr>
            <w:tcW w:w="4050" w:type="dxa"/>
            <w:vAlign w:val="center"/>
          </w:tcPr>
          <w:p w14:paraId="26344509" w14:textId="77777777" w:rsidR="00B9168F" w:rsidRPr="00AE605B" w:rsidRDefault="00B9168F" w:rsidP="006626CB">
            <w:pPr>
              <w:spacing w:after="120" w:line="240" w:lineRule="auto"/>
              <w:rPr>
                <w:rFonts w:ascii="Arial" w:eastAsia="Times New Roman" w:hAnsi="Arial" w:cs="Arial"/>
                <w:i/>
              </w:rPr>
            </w:pPr>
            <w:r>
              <w:rPr>
                <w:rFonts w:ascii="Arial" w:eastAsia="Times New Roman" w:hAnsi="Arial" w:cs="Arial"/>
              </w:rPr>
              <w:t>Broadband Access</w:t>
            </w:r>
          </w:p>
        </w:tc>
      </w:tr>
      <w:tr w:rsidR="00B9168F" w:rsidRPr="00AE605B" w14:paraId="0FABAB59" w14:textId="77777777" w:rsidTr="009762DA">
        <w:trPr>
          <w:trHeight w:val="360"/>
        </w:trPr>
        <w:tc>
          <w:tcPr>
            <w:tcW w:w="558" w:type="dxa"/>
            <w:vAlign w:val="center"/>
          </w:tcPr>
          <w:p w14:paraId="16ECEFB7" w14:textId="4AF51B82" w:rsidR="00B9168F" w:rsidRPr="00AE605B" w:rsidRDefault="00B9168F" w:rsidP="006626CB">
            <w:pPr>
              <w:spacing w:after="120" w:line="240" w:lineRule="auto"/>
              <w:rPr>
                <w:rFonts w:ascii="Arial" w:eastAsia="Times New Roman" w:hAnsi="Arial" w:cs="Arial"/>
                <w:i/>
              </w:rPr>
            </w:pPr>
            <w:r>
              <w:rPr>
                <w:rFonts w:ascii="Arial" w:eastAsia="Times New Roman" w:hAnsi="Arial" w:cs="Arial"/>
                <w:i/>
              </w:rPr>
              <w:fldChar w:fldCharType="begin">
                <w:ffData>
                  <w:name w:val=""/>
                  <w:enabled/>
                  <w:calcOnExit w:val="0"/>
                  <w:checkBox>
                    <w:sizeAuto/>
                    <w:default w:val="0"/>
                  </w:checkBox>
                </w:ffData>
              </w:fldChar>
            </w:r>
            <w:r>
              <w:rPr>
                <w:rFonts w:ascii="Arial" w:eastAsia="Times New Roman" w:hAnsi="Arial" w:cs="Arial"/>
                <w:i/>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Pr>
                <w:rFonts w:ascii="Arial" w:eastAsia="Times New Roman" w:hAnsi="Arial" w:cs="Arial"/>
                <w:i/>
              </w:rPr>
              <w:fldChar w:fldCharType="end"/>
            </w:r>
          </w:p>
        </w:tc>
        <w:tc>
          <w:tcPr>
            <w:tcW w:w="4302" w:type="dxa"/>
            <w:vAlign w:val="center"/>
          </w:tcPr>
          <w:p w14:paraId="1AB50218" w14:textId="77777777" w:rsidR="00B9168F" w:rsidRPr="00AE605B" w:rsidRDefault="00B9168F" w:rsidP="006626CB">
            <w:pPr>
              <w:spacing w:after="120" w:line="240" w:lineRule="auto"/>
              <w:rPr>
                <w:rFonts w:ascii="Arial" w:eastAsia="Times New Roman" w:hAnsi="Arial" w:cs="Arial"/>
                <w:i/>
              </w:rPr>
            </w:pPr>
            <w:r w:rsidRPr="00AE605B">
              <w:rPr>
                <w:rFonts w:ascii="Arial" w:eastAsia="Times New Roman" w:hAnsi="Arial" w:cs="Arial"/>
              </w:rPr>
              <w:t>Financial Ability</w:t>
            </w:r>
          </w:p>
        </w:tc>
        <w:tc>
          <w:tcPr>
            <w:tcW w:w="450" w:type="dxa"/>
            <w:vAlign w:val="center"/>
          </w:tcPr>
          <w:p w14:paraId="2D1E188E" w14:textId="5F7B719A" w:rsidR="00B9168F" w:rsidRPr="000D3B91" w:rsidRDefault="00D1368D" w:rsidP="006626CB">
            <w:pPr>
              <w:spacing w:after="120" w:line="240" w:lineRule="auto"/>
              <w:rPr>
                <w:rFonts w:ascii="Arial" w:eastAsia="Times New Roman" w:hAnsi="Arial" w:cs="Arial"/>
              </w:rPr>
            </w:pPr>
            <w:r>
              <w:rPr>
                <w:rFonts w:ascii="Arial" w:eastAsia="Times New Roman" w:hAnsi="Arial" w:cs="Arial"/>
                <w:i/>
              </w:rPr>
              <w:fldChar w:fldCharType="begin">
                <w:ffData>
                  <w:name w:val=""/>
                  <w:enabled/>
                  <w:calcOnExit w:val="0"/>
                  <w:checkBox>
                    <w:sizeAuto/>
                    <w:default w:val="1"/>
                  </w:checkBox>
                </w:ffData>
              </w:fldChar>
            </w:r>
            <w:r>
              <w:rPr>
                <w:rFonts w:ascii="Arial" w:eastAsia="Times New Roman" w:hAnsi="Arial" w:cs="Arial"/>
                <w:i/>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Pr>
                <w:rFonts w:ascii="Arial" w:eastAsia="Times New Roman" w:hAnsi="Arial" w:cs="Arial"/>
                <w:i/>
              </w:rPr>
              <w:fldChar w:fldCharType="end"/>
            </w:r>
          </w:p>
        </w:tc>
        <w:tc>
          <w:tcPr>
            <w:tcW w:w="4050" w:type="dxa"/>
            <w:vAlign w:val="center"/>
          </w:tcPr>
          <w:p w14:paraId="76A0BE26" w14:textId="77777777" w:rsidR="00B9168F" w:rsidRPr="000D3B91" w:rsidRDefault="00B9168F" w:rsidP="006626CB">
            <w:pPr>
              <w:spacing w:after="120" w:line="240" w:lineRule="auto"/>
              <w:rPr>
                <w:rFonts w:ascii="Arial" w:eastAsia="Times New Roman" w:hAnsi="Arial" w:cs="Arial"/>
              </w:rPr>
            </w:pPr>
            <w:r w:rsidRPr="000D3B91">
              <w:rPr>
                <w:rFonts w:ascii="Arial" w:eastAsia="Times New Roman" w:hAnsi="Arial" w:cs="Arial"/>
              </w:rPr>
              <w:t>Status of Previous MSR Recommendations</w:t>
            </w:r>
          </w:p>
        </w:tc>
      </w:tr>
    </w:tbl>
    <w:p w14:paraId="47D92C67" w14:textId="77777777" w:rsidR="00B9168F" w:rsidRPr="00AE605B" w:rsidRDefault="00B9168F" w:rsidP="007B58F3">
      <w:pPr>
        <w:pStyle w:val="Heading2"/>
        <w:rPr>
          <w:rFonts w:eastAsia="Times New Roman"/>
        </w:rPr>
      </w:pPr>
      <w:bookmarkStart w:id="4" w:name="_Toc108186086"/>
      <w:r w:rsidRPr="00AE605B">
        <w:rPr>
          <w:rFonts w:eastAsia="Times New Roman"/>
        </w:rPr>
        <w:t>LAFCo Municipal Service Review:</w:t>
      </w:r>
      <w:bookmarkEnd w:id="4"/>
    </w:p>
    <w:p w14:paraId="79705AC6" w14:textId="5F7ED117" w:rsidR="00AE605B" w:rsidRPr="00AE605B" w:rsidRDefault="00AE605B" w:rsidP="00726DA1">
      <w:pPr>
        <w:spacing w:after="120" w:line="240" w:lineRule="auto"/>
        <w:ind w:left="547" w:hanging="547"/>
        <w:rPr>
          <w:rFonts w:ascii="Arial" w:eastAsia="Times New Roman" w:hAnsi="Arial" w:cs="Arial"/>
        </w:rPr>
      </w:pPr>
      <w:r w:rsidRPr="00AE605B">
        <w:rPr>
          <w:rFonts w:ascii="Arial" w:eastAsia="Times New Roman" w:hAnsi="Arial" w:cs="Arial"/>
          <w:i/>
        </w:rPr>
        <w:fldChar w:fldCharType="begin">
          <w:ffData>
            <w:name w:val="Check18"/>
            <w:enabled/>
            <w:calcOnExit w:val="0"/>
            <w:checkBox>
              <w:sizeAuto/>
              <w:default w:val="0"/>
            </w:checkBox>
          </w:ffData>
        </w:fldChar>
      </w:r>
      <w:r w:rsidRPr="00AE605B">
        <w:rPr>
          <w:rFonts w:ascii="Arial" w:eastAsia="Times New Roman" w:hAnsi="Arial" w:cs="Arial"/>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sidRPr="00AE605B">
        <w:rPr>
          <w:rFonts w:ascii="Arial" w:eastAsia="Times New Roman" w:hAnsi="Arial" w:cs="Arial"/>
          <w:i/>
        </w:rPr>
        <w:fldChar w:fldCharType="end"/>
      </w:r>
      <w:r w:rsidRPr="00AE605B">
        <w:rPr>
          <w:rFonts w:ascii="Arial" w:eastAsia="Times New Roman" w:hAnsi="Arial" w:cs="Arial"/>
        </w:rPr>
        <w:tab/>
      </w:r>
      <w:proofErr w:type="gramStart"/>
      <w:r w:rsidRPr="00AE605B">
        <w:rPr>
          <w:rFonts w:ascii="Arial" w:eastAsia="Times New Roman" w:hAnsi="Arial" w:cs="Arial"/>
        </w:rPr>
        <w:t>On the basis of</w:t>
      </w:r>
      <w:proofErr w:type="gramEnd"/>
      <w:r w:rsidRPr="00AE605B">
        <w:rPr>
          <w:rFonts w:ascii="Arial" w:eastAsia="Times New Roman" w:hAnsi="Arial" w:cs="Arial"/>
        </w:rPr>
        <w:t xml:space="preserve"> this initial evaluation, the required determinations are not </w:t>
      </w:r>
      <w:r w:rsidR="006626CB" w:rsidRPr="00AE605B">
        <w:rPr>
          <w:rFonts w:ascii="Arial" w:eastAsia="Times New Roman" w:hAnsi="Arial" w:cs="Arial"/>
        </w:rPr>
        <w:t>significant,</w:t>
      </w:r>
      <w:r w:rsidRPr="00AE605B">
        <w:rPr>
          <w:rFonts w:ascii="Arial" w:eastAsia="Times New Roman" w:hAnsi="Arial" w:cs="Arial"/>
        </w:rPr>
        <w:t xml:space="preserve"> and staff recommends that an MSR is NOT NECESSARY. The subject agency will be reviewed again in five years per Government Code Section 56425(g). </w:t>
      </w:r>
    </w:p>
    <w:p w14:paraId="66575583" w14:textId="2EAB1C7E" w:rsidR="00AE605B" w:rsidRPr="00AE605B" w:rsidRDefault="00A86C1F" w:rsidP="00726DA1">
      <w:pPr>
        <w:spacing w:after="120" w:line="240" w:lineRule="auto"/>
        <w:ind w:left="547" w:hanging="547"/>
        <w:rPr>
          <w:rFonts w:ascii="Arial" w:eastAsia="Times New Roman" w:hAnsi="Arial" w:cs="Arial"/>
        </w:rPr>
      </w:pPr>
      <w:r>
        <w:rPr>
          <w:rFonts w:ascii="Arial" w:eastAsia="Times New Roman" w:hAnsi="Arial" w:cs="Arial"/>
          <w:i/>
        </w:rPr>
        <w:fldChar w:fldCharType="begin">
          <w:ffData>
            <w:name w:val=""/>
            <w:enabled/>
            <w:calcOnExit w:val="0"/>
            <w:checkBox>
              <w:sizeAuto/>
              <w:default w:val="1"/>
            </w:checkBox>
          </w:ffData>
        </w:fldChar>
      </w:r>
      <w:r>
        <w:rPr>
          <w:rFonts w:ascii="Arial" w:eastAsia="Times New Roman" w:hAnsi="Arial" w:cs="Arial"/>
          <w:i/>
        </w:rPr>
        <w:instrText xml:space="preserve"> FORMCHECKBOX </w:instrText>
      </w:r>
      <w:r w:rsidR="00240498">
        <w:rPr>
          <w:rFonts w:ascii="Arial" w:eastAsia="Times New Roman" w:hAnsi="Arial" w:cs="Arial"/>
          <w:i/>
        </w:rPr>
      </w:r>
      <w:r w:rsidR="00240498">
        <w:rPr>
          <w:rFonts w:ascii="Arial" w:eastAsia="Times New Roman" w:hAnsi="Arial" w:cs="Arial"/>
          <w:i/>
        </w:rPr>
        <w:fldChar w:fldCharType="separate"/>
      </w:r>
      <w:r>
        <w:rPr>
          <w:rFonts w:ascii="Arial" w:eastAsia="Times New Roman" w:hAnsi="Arial" w:cs="Arial"/>
          <w:i/>
        </w:rPr>
        <w:fldChar w:fldCharType="end"/>
      </w:r>
      <w:r w:rsidR="00AE605B" w:rsidRPr="00AE605B">
        <w:rPr>
          <w:rFonts w:ascii="Arial" w:eastAsia="Times New Roman" w:hAnsi="Arial" w:cs="Arial"/>
        </w:rPr>
        <w:tab/>
        <w:t xml:space="preserve">The subject agency has potentially significant determinations and staff recommends that a comprehensive MSR IS NECESSARY and has been conducted via this checklist. </w:t>
      </w:r>
    </w:p>
    <w:p w14:paraId="3F787EE5" w14:textId="77777777" w:rsidR="00AE605B" w:rsidRPr="00AE605B" w:rsidRDefault="00AE605B" w:rsidP="00726DA1">
      <w:pPr>
        <w:spacing w:after="120" w:line="240" w:lineRule="auto"/>
        <w:ind w:left="540" w:hanging="540"/>
        <w:rPr>
          <w:rFonts w:ascii="Arial" w:eastAsia="Times New Roman" w:hAnsi="Arial" w:cs="Arial"/>
        </w:rPr>
      </w:pP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1152"/>
        <w:gridCol w:w="1152"/>
        <w:gridCol w:w="1152"/>
      </w:tblGrid>
      <w:tr w:rsidR="008F118C" w:rsidRPr="00AE605B" w14:paraId="001CB60B" w14:textId="77777777" w:rsidTr="00BC516F">
        <w:trPr>
          <w:cantSplit/>
        </w:trPr>
        <w:tc>
          <w:tcPr>
            <w:tcW w:w="6048" w:type="dxa"/>
            <w:tcBorders>
              <w:top w:val="single" w:sz="12" w:space="0" w:color="auto"/>
              <w:bottom w:val="single" w:sz="12" w:space="0" w:color="auto"/>
            </w:tcBorders>
            <w:shd w:val="clear" w:color="auto" w:fill="D9D9D9"/>
          </w:tcPr>
          <w:p w14:paraId="0CA8FE25" w14:textId="3E4577A0" w:rsidR="008F118C" w:rsidRPr="005D4AC7" w:rsidRDefault="008F118C" w:rsidP="00342507">
            <w:pPr>
              <w:pStyle w:val="Heading3"/>
              <w:keepNext/>
              <w:keepLines/>
              <w:outlineLvl w:val="2"/>
              <w:rPr>
                <w:color w:val="auto"/>
              </w:rPr>
            </w:pPr>
            <w:bookmarkStart w:id="5" w:name="_Toc108186087"/>
            <w:r w:rsidRPr="005D4AC7">
              <w:rPr>
                <w:color w:val="auto"/>
              </w:rPr>
              <w:lastRenderedPageBreak/>
              <w:t>1. G</w:t>
            </w:r>
            <w:r w:rsidR="005D4AC7">
              <w:rPr>
                <w:color w:val="auto"/>
              </w:rPr>
              <w:t>rowth and Population</w:t>
            </w:r>
            <w:bookmarkEnd w:id="5"/>
          </w:p>
          <w:p w14:paraId="4A2A9AF2" w14:textId="77777777" w:rsidR="008F118C" w:rsidRPr="00AE605B" w:rsidRDefault="008F118C" w:rsidP="00342507">
            <w:pPr>
              <w:keepNext/>
              <w:keepLines/>
              <w:spacing w:after="120" w:line="240" w:lineRule="auto"/>
              <w:rPr>
                <w:rFonts w:ascii="Arial" w:hAnsi="Arial" w:cs="Arial"/>
                <w:b/>
                <w:i/>
                <w:sz w:val="19"/>
                <w:szCs w:val="19"/>
              </w:rPr>
            </w:pPr>
            <w:r w:rsidRPr="00AE605B">
              <w:rPr>
                <w:rFonts w:ascii="Arial" w:hAnsi="Arial" w:cs="Arial"/>
                <w:sz w:val="19"/>
                <w:szCs w:val="19"/>
              </w:rPr>
              <w:t>Growth and population projections for the affected area.</w:t>
            </w:r>
          </w:p>
        </w:tc>
        <w:tc>
          <w:tcPr>
            <w:tcW w:w="1152" w:type="dxa"/>
            <w:tcBorders>
              <w:top w:val="single" w:sz="12" w:space="0" w:color="auto"/>
              <w:bottom w:val="single" w:sz="12" w:space="0" w:color="auto"/>
            </w:tcBorders>
            <w:shd w:val="clear" w:color="auto" w:fill="D9D9D9"/>
            <w:vAlign w:val="bottom"/>
          </w:tcPr>
          <w:p w14:paraId="5F871705" w14:textId="465F4D5F"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top w:val="single" w:sz="12" w:space="0" w:color="auto"/>
              <w:bottom w:val="single" w:sz="12" w:space="0" w:color="auto"/>
            </w:tcBorders>
            <w:shd w:val="clear" w:color="auto" w:fill="D9D9D9"/>
            <w:vAlign w:val="bottom"/>
          </w:tcPr>
          <w:p w14:paraId="5C8B043D" w14:textId="083DE8BE"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2" w:type="dxa"/>
            <w:tcBorders>
              <w:top w:val="single" w:sz="12" w:space="0" w:color="auto"/>
              <w:bottom w:val="single" w:sz="12" w:space="0" w:color="auto"/>
            </w:tcBorders>
            <w:shd w:val="clear" w:color="auto" w:fill="D9D9D9"/>
            <w:vAlign w:val="bottom"/>
          </w:tcPr>
          <w:p w14:paraId="5C2E87CD" w14:textId="5B23FCCD"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B9168F" w:rsidRPr="00AE605B" w14:paraId="40620233" w14:textId="77777777" w:rsidTr="009762DA">
        <w:trPr>
          <w:cantSplit/>
        </w:trPr>
        <w:tc>
          <w:tcPr>
            <w:tcW w:w="6048" w:type="dxa"/>
            <w:tcBorders>
              <w:top w:val="single" w:sz="12" w:space="0" w:color="auto"/>
              <w:bottom w:val="single" w:sz="4" w:space="0" w:color="auto"/>
            </w:tcBorders>
            <w:vAlign w:val="center"/>
          </w:tcPr>
          <w:p w14:paraId="68806D0E" w14:textId="645BAD79" w:rsidR="00B9168F" w:rsidRPr="00AE605B" w:rsidRDefault="00B9168F" w:rsidP="00342507">
            <w:pPr>
              <w:keepNext/>
              <w:keepLines/>
              <w:numPr>
                <w:ilvl w:val="0"/>
                <w:numId w:val="15"/>
              </w:numPr>
              <w:spacing w:before="60" w:after="60" w:line="240" w:lineRule="auto"/>
              <w:rPr>
                <w:rFonts w:ascii="Arial" w:hAnsi="Arial" w:cs="Arial"/>
                <w:i/>
                <w:sz w:val="19"/>
                <w:szCs w:val="19"/>
              </w:rPr>
            </w:pPr>
            <w:r w:rsidRPr="00AE605B">
              <w:rPr>
                <w:rFonts w:ascii="Arial" w:hAnsi="Arial" w:cs="Arial"/>
                <w:i/>
                <w:sz w:val="19"/>
                <w:szCs w:val="19"/>
              </w:rPr>
              <w:t xml:space="preserve">Will development and/or population projections over the next 5-10 years impact the subject agency’s service needs and demands? </w:t>
            </w:r>
          </w:p>
        </w:tc>
        <w:tc>
          <w:tcPr>
            <w:tcW w:w="1152" w:type="dxa"/>
            <w:tcBorders>
              <w:top w:val="single" w:sz="12" w:space="0" w:color="auto"/>
              <w:bottom w:val="single" w:sz="4" w:space="0" w:color="auto"/>
            </w:tcBorders>
            <w:vAlign w:val="center"/>
          </w:tcPr>
          <w:p w14:paraId="21E4A09C" w14:textId="77777777" w:rsidR="00B9168F" w:rsidRPr="00AE605B" w:rsidRDefault="00B9168F" w:rsidP="009762DA">
            <w:pPr>
              <w:spacing w:before="40" w:after="4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12" w:space="0" w:color="auto"/>
              <w:bottom w:val="single" w:sz="4" w:space="0" w:color="auto"/>
            </w:tcBorders>
            <w:vAlign w:val="center"/>
          </w:tcPr>
          <w:p w14:paraId="5AF23F76" w14:textId="77777777" w:rsidR="00B9168F" w:rsidRPr="00AE605B" w:rsidRDefault="00B9168F" w:rsidP="009762DA">
            <w:pPr>
              <w:spacing w:before="40" w:after="4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12" w:space="0" w:color="auto"/>
              <w:bottom w:val="single" w:sz="4" w:space="0" w:color="auto"/>
            </w:tcBorders>
            <w:vAlign w:val="center"/>
          </w:tcPr>
          <w:p w14:paraId="1A7973F3" w14:textId="67F9C34D" w:rsidR="00B9168F" w:rsidRPr="00AE605B" w:rsidRDefault="000F5602" w:rsidP="009762DA">
            <w:pPr>
              <w:spacing w:before="40" w:after="4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B9168F" w:rsidRPr="00AE605B" w14:paraId="7D252DE9" w14:textId="77777777" w:rsidTr="009762DA">
        <w:trPr>
          <w:cantSplit/>
        </w:trPr>
        <w:tc>
          <w:tcPr>
            <w:tcW w:w="6048" w:type="dxa"/>
            <w:tcBorders>
              <w:top w:val="single" w:sz="4" w:space="0" w:color="auto"/>
              <w:bottom w:val="single" w:sz="4" w:space="0" w:color="auto"/>
            </w:tcBorders>
            <w:vAlign w:val="center"/>
          </w:tcPr>
          <w:p w14:paraId="0AFB3EF7" w14:textId="17AC4949" w:rsidR="00B9168F" w:rsidRPr="00AE605B" w:rsidRDefault="00B9168F" w:rsidP="009762DA">
            <w:pPr>
              <w:numPr>
                <w:ilvl w:val="0"/>
                <w:numId w:val="15"/>
              </w:numPr>
              <w:spacing w:before="60" w:after="60" w:line="240" w:lineRule="auto"/>
              <w:rPr>
                <w:rFonts w:ascii="Arial" w:hAnsi="Arial" w:cs="Arial"/>
                <w:i/>
                <w:sz w:val="19"/>
                <w:szCs w:val="19"/>
              </w:rPr>
            </w:pPr>
            <w:bookmarkStart w:id="6" w:name="_Hlk104218806"/>
            <w:r w:rsidRPr="00DF7CDB">
              <w:rPr>
                <w:rFonts w:ascii="Arial" w:hAnsi="Arial" w:cs="Arial"/>
                <w:i/>
                <w:sz w:val="19"/>
                <w:szCs w:val="19"/>
              </w:rPr>
              <w:t>Do</w:t>
            </w:r>
            <w:r>
              <w:rPr>
                <w:rFonts w:ascii="Arial" w:hAnsi="Arial" w:cs="Arial"/>
                <w:i/>
                <w:sz w:val="19"/>
                <w:szCs w:val="19"/>
              </w:rPr>
              <w:t xml:space="preserve"> changes in </w:t>
            </w:r>
            <w:r w:rsidRPr="00DF7CDB">
              <w:rPr>
                <w:rFonts w:ascii="Arial" w:hAnsi="Arial" w:cs="Arial"/>
                <w:i/>
                <w:sz w:val="19"/>
                <w:szCs w:val="19"/>
              </w:rPr>
              <w:t>demand suggest a change in the agency’s services</w:t>
            </w:r>
            <w:bookmarkEnd w:id="6"/>
            <w:r w:rsidRPr="00DF7CDB">
              <w:rPr>
                <w:rFonts w:ascii="Arial" w:hAnsi="Arial" w:cs="Arial"/>
                <w:i/>
                <w:sz w:val="19"/>
                <w:szCs w:val="19"/>
              </w:rPr>
              <w:t>?</w:t>
            </w:r>
          </w:p>
        </w:tc>
        <w:tc>
          <w:tcPr>
            <w:tcW w:w="1152" w:type="dxa"/>
            <w:tcBorders>
              <w:top w:val="single" w:sz="4" w:space="0" w:color="auto"/>
              <w:bottom w:val="single" w:sz="4" w:space="0" w:color="auto"/>
            </w:tcBorders>
            <w:vAlign w:val="center"/>
          </w:tcPr>
          <w:p w14:paraId="63AB3470" w14:textId="09FE93FC" w:rsidR="00B9168F" w:rsidRPr="00AE605B" w:rsidRDefault="00A86C1F" w:rsidP="009762DA">
            <w:pPr>
              <w:spacing w:before="40" w:after="4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3A079B0F" w14:textId="77777777" w:rsidR="00B9168F" w:rsidRPr="00AE605B" w:rsidRDefault="00B9168F" w:rsidP="009762DA">
            <w:pPr>
              <w:spacing w:before="40" w:after="4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50D45747" w14:textId="225D8A26" w:rsidR="00B9168F" w:rsidRPr="00AE605B" w:rsidRDefault="00A86C1F" w:rsidP="009762DA">
            <w:pPr>
              <w:spacing w:before="40" w:after="4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165F2BCC" w14:textId="18D8B066" w:rsidR="00AE605B" w:rsidRDefault="00AE605B" w:rsidP="0088456E">
      <w:pPr>
        <w:keepNext/>
        <w:spacing w:after="120" w:line="240" w:lineRule="auto"/>
        <w:rPr>
          <w:rFonts w:ascii="Arial" w:eastAsia="Times New Roman" w:hAnsi="Arial" w:cs="Arial"/>
          <w:b/>
        </w:rPr>
      </w:pPr>
      <w:bookmarkStart w:id="7" w:name="_Hlk108180823"/>
      <w:r w:rsidRPr="00AE605B">
        <w:rPr>
          <w:rFonts w:ascii="Arial" w:eastAsia="Times New Roman" w:hAnsi="Arial" w:cs="Arial"/>
          <w:b/>
        </w:rPr>
        <w:t xml:space="preserve">Discussion: </w:t>
      </w:r>
    </w:p>
    <w:p w14:paraId="4BF3F2E6" w14:textId="264605F6" w:rsidR="005A0A10" w:rsidRPr="005A0A10" w:rsidRDefault="005A0A10" w:rsidP="0088456E">
      <w:pPr>
        <w:keepNext/>
        <w:spacing w:after="120" w:line="240" w:lineRule="auto"/>
        <w:rPr>
          <w:rFonts w:ascii="Arial" w:eastAsia="Times New Roman" w:hAnsi="Arial" w:cs="Arial"/>
          <w:bCs/>
        </w:rPr>
      </w:pPr>
      <w:r w:rsidRPr="005A0A10">
        <w:rPr>
          <w:rFonts w:ascii="Arial" w:eastAsia="Times New Roman" w:hAnsi="Arial" w:cs="Arial"/>
          <w:bCs/>
        </w:rPr>
        <w:t>None.</w:t>
      </w:r>
    </w:p>
    <w:p w14:paraId="04E6EAAC" w14:textId="796ED5F5" w:rsidR="00AE605B" w:rsidRDefault="00AE605B" w:rsidP="00B471FF">
      <w:pPr>
        <w:spacing w:after="120" w:line="240" w:lineRule="auto"/>
        <w:rPr>
          <w:rFonts w:ascii="Arial" w:eastAsia="Times New Roman" w:hAnsi="Arial" w:cs="Arial"/>
          <w:b/>
        </w:rPr>
      </w:pPr>
      <w:r w:rsidRPr="00AE605B">
        <w:rPr>
          <w:rFonts w:ascii="Arial" w:eastAsia="Times New Roman" w:hAnsi="Arial" w:cs="Arial"/>
          <w:b/>
        </w:rPr>
        <w:t>Growth and Population MSR Determination</w:t>
      </w:r>
      <w:r w:rsidR="008F118C">
        <w:rPr>
          <w:rFonts w:ascii="Arial" w:eastAsia="Times New Roman" w:hAnsi="Arial" w:cs="Arial"/>
          <w:b/>
        </w:rPr>
        <w:t>:</w:t>
      </w:r>
    </w:p>
    <w:p w14:paraId="6FE4026B" w14:textId="77777777" w:rsidR="004D3961" w:rsidRDefault="004D3961" w:rsidP="004D3961">
      <w:pPr>
        <w:spacing w:after="120" w:line="240" w:lineRule="auto"/>
        <w:rPr>
          <w:rFonts w:ascii="Arial" w:hAnsi="Arial" w:cs="Arial"/>
        </w:rPr>
      </w:pPr>
      <w:r w:rsidRPr="004D3961">
        <w:rPr>
          <w:rFonts w:ascii="Arial" w:hAnsi="Arial" w:cs="Arial"/>
        </w:rPr>
        <w:t xml:space="preserve">The El Macero CSA is considered built out and significant population change that would impact the agency’s service needs and demands is not anticipated. </w:t>
      </w:r>
    </w:p>
    <w:p w14:paraId="3C988AC7" w14:textId="2AB7FFFB" w:rsidR="0049789D" w:rsidRPr="008F118C" w:rsidRDefault="0049789D" w:rsidP="0049789D">
      <w:pPr>
        <w:spacing w:after="120" w:line="240" w:lineRule="auto"/>
        <w:ind w:left="360" w:hanging="360"/>
        <w:rPr>
          <w:rFonts w:ascii="Arial" w:eastAsia="Times New Roman" w:hAnsi="Arial" w:cs="Arial"/>
          <w:b/>
          <w:bCs/>
        </w:rPr>
      </w:pPr>
      <w:r w:rsidRPr="008F118C">
        <w:rPr>
          <w:rFonts w:ascii="Arial" w:eastAsia="Times New Roman" w:hAnsi="Arial" w:cs="Arial"/>
          <w:b/>
          <w:bCs/>
        </w:rPr>
        <w:t>Recommendation(s):</w:t>
      </w:r>
    </w:p>
    <w:p w14:paraId="4310CBBC" w14:textId="77777777" w:rsidR="0049789D" w:rsidRPr="00AE605B" w:rsidRDefault="0049789D" w:rsidP="0049789D">
      <w:pPr>
        <w:spacing w:after="120" w:line="240" w:lineRule="auto"/>
        <w:ind w:left="360" w:hanging="360"/>
        <w:rPr>
          <w:rFonts w:ascii="Arial" w:eastAsia="Times New Roman" w:hAnsi="Arial" w:cs="Arial"/>
        </w:rPr>
      </w:pPr>
      <w:r>
        <w:rPr>
          <w:rFonts w:ascii="Arial" w:eastAsia="Times New Roman" w:hAnsi="Arial" w:cs="Arial"/>
        </w:rPr>
        <w:t xml:space="preserve">None. </w:t>
      </w:r>
    </w:p>
    <w:p w14:paraId="4243CE97" w14:textId="77777777" w:rsidR="00A86C1F" w:rsidRPr="00AE605B" w:rsidRDefault="00A86C1F" w:rsidP="000F5602">
      <w:pPr>
        <w:spacing w:after="120" w:line="240" w:lineRule="auto"/>
        <w:rPr>
          <w:rFonts w:ascii="Arial" w:eastAsia="Times New Roman" w:hAnsi="Arial" w:cs="Arial"/>
          <w:highlight w:val="lightGray"/>
        </w:rPr>
      </w:pP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1152"/>
        <w:gridCol w:w="1152"/>
        <w:gridCol w:w="1152"/>
      </w:tblGrid>
      <w:tr w:rsidR="00AE605B" w:rsidRPr="00AE605B" w14:paraId="031CB4A0" w14:textId="77777777" w:rsidTr="00184588">
        <w:trPr>
          <w:cantSplit/>
        </w:trPr>
        <w:tc>
          <w:tcPr>
            <w:tcW w:w="9504" w:type="dxa"/>
            <w:gridSpan w:val="4"/>
            <w:tcBorders>
              <w:top w:val="single" w:sz="12" w:space="0" w:color="auto"/>
            </w:tcBorders>
            <w:shd w:val="clear" w:color="auto" w:fill="D9D9D9"/>
          </w:tcPr>
          <w:p w14:paraId="1AB26134" w14:textId="5B085DA6" w:rsidR="00AE605B" w:rsidRPr="005D4AC7" w:rsidRDefault="00AE605B" w:rsidP="005D4AC7">
            <w:pPr>
              <w:pStyle w:val="Heading3"/>
              <w:outlineLvl w:val="2"/>
              <w:rPr>
                <w:color w:val="auto"/>
              </w:rPr>
            </w:pPr>
            <w:bookmarkStart w:id="8" w:name="_Toc108186088"/>
            <w:bookmarkEnd w:id="7"/>
            <w:r w:rsidRPr="005D4AC7">
              <w:rPr>
                <w:color w:val="auto"/>
              </w:rPr>
              <w:t>2. D</w:t>
            </w:r>
            <w:r w:rsidR="005D4AC7" w:rsidRPr="005D4AC7">
              <w:rPr>
                <w:color w:val="auto"/>
              </w:rPr>
              <w:t>isadvantaged Unincorporated Communities</w:t>
            </w:r>
            <w:bookmarkEnd w:id="8"/>
          </w:p>
          <w:p w14:paraId="4847BCA4" w14:textId="77777777" w:rsidR="00AE605B" w:rsidRPr="00AE605B" w:rsidRDefault="00AE605B" w:rsidP="00AE605B">
            <w:pPr>
              <w:spacing w:after="120" w:line="240" w:lineRule="auto"/>
              <w:rPr>
                <w:rFonts w:ascii="Arial" w:hAnsi="Arial" w:cs="Arial"/>
                <w:b/>
                <w:i/>
                <w:sz w:val="19"/>
                <w:szCs w:val="19"/>
              </w:rPr>
            </w:pPr>
            <w:r w:rsidRPr="00AE605B">
              <w:rPr>
                <w:rFonts w:ascii="Arial" w:hAnsi="Arial" w:cs="Arial"/>
                <w:sz w:val="19"/>
                <w:szCs w:val="19"/>
              </w:rPr>
              <w:t>The location and characteristics of any disadvantaged unincorporated communities within or contiguous to the sphere of influence.</w:t>
            </w:r>
          </w:p>
        </w:tc>
      </w:tr>
      <w:tr w:rsidR="008F118C" w:rsidRPr="00AE605B" w14:paraId="2DB8737C" w14:textId="77777777" w:rsidTr="00184588">
        <w:trPr>
          <w:cantSplit/>
          <w:trHeight w:val="144"/>
        </w:trPr>
        <w:tc>
          <w:tcPr>
            <w:tcW w:w="6048" w:type="dxa"/>
            <w:tcBorders>
              <w:bottom w:val="single" w:sz="12" w:space="0" w:color="auto"/>
            </w:tcBorders>
            <w:shd w:val="clear" w:color="auto" w:fill="D9D9D9"/>
            <w:vAlign w:val="bottom"/>
          </w:tcPr>
          <w:p w14:paraId="7F4A17D1" w14:textId="77777777" w:rsidR="008F118C" w:rsidRPr="00AE605B" w:rsidRDefault="008F118C" w:rsidP="008F118C">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5880A7E2" w14:textId="67E1A829"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bottom w:val="single" w:sz="12" w:space="0" w:color="auto"/>
            </w:tcBorders>
            <w:shd w:val="clear" w:color="auto" w:fill="D9D9D9"/>
            <w:vAlign w:val="bottom"/>
          </w:tcPr>
          <w:p w14:paraId="5AB57CB7" w14:textId="48D1F41A"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2" w:type="dxa"/>
            <w:tcBorders>
              <w:bottom w:val="single" w:sz="12" w:space="0" w:color="auto"/>
            </w:tcBorders>
            <w:shd w:val="clear" w:color="auto" w:fill="D9D9D9"/>
            <w:vAlign w:val="bottom"/>
          </w:tcPr>
          <w:p w14:paraId="7F7E5CBB" w14:textId="241C94DE"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AE605B" w:rsidRPr="00AE605B" w14:paraId="398DBEF7" w14:textId="77777777" w:rsidTr="00184588">
        <w:trPr>
          <w:cantSplit/>
          <w:trHeight w:val="735"/>
        </w:trPr>
        <w:tc>
          <w:tcPr>
            <w:tcW w:w="6048" w:type="dxa"/>
            <w:tcBorders>
              <w:top w:val="single" w:sz="4" w:space="0" w:color="auto"/>
              <w:bottom w:val="single" w:sz="4" w:space="0" w:color="auto"/>
            </w:tcBorders>
            <w:vAlign w:val="center"/>
          </w:tcPr>
          <w:p w14:paraId="18333823" w14:textId="45499FDD" w:rsidR="00AE605B" w:rsidRPr="00AE605B" w:rsidRDefault="00AE605B" w:rsidP="009762DA">
            <w:pPr>
              <w:numPr>
                <w:ilvl w:val="0"/>
                <w:numId w:val="14"/>
              </w:numPr>
              <w:spacing w:before="60" w:after="60" w:line="240" w:lineRule="auto"/>
              <w:rPr>
                <w:rFonts w:ascii="Arial" w:hAnsi="Arial" w:cs="Arial"/>
                <w:i/>
                <w:sz w:val="19"/>
                <w:szCs w:val="19"/>
              </w:rPr>
            </w:pPr>
            <w:r w:rsidRPr="00AE605B">
              <w:rPr>
                <w:rFonts w:ascii="Arial" w:hAnsi="Arial" w:cs="Arial"/>
                <w:i/>
                <w:sz w:val="19"/>
                <w:szCs w:val="19"/>
              </w:rPr>
              <w:t xml:space="preserve">If the subject agency provides services related to sewers, municipal and industrial water, or structural fire protection, are there any “inhabited unincorporated communities” (per adopted Commission policy) within or adjacent to the subject agency’s sphere of influence that are considered “disadvantaged” (80% or less of the statewide median household income) that do not already have access to public water, </w:t>
            </w:r>
            <w:r w:rsidR="009762DA" w:rsidRPr="00AE605B">
              <w:rPr>
                <w:rFonts w:ascii="Arial" w:hAnsi="Arial" w:cs="Arial"/>
                <w:i/>
                <w:sz w:val="19"/>
                <w:szCs w:val="19"/>
              </w:rPr>
              <w:t>sewer,</w:t>
            </w:r>
            <w:r w:rsidRPr="00AE605B">
              <w:rPr>
                <w:rFonts w:ascii="Arial" w:hAnsi="Arial" w:cs="Arial"/>
                <w:i/>
                <w:sz w:val="19"/>
                <w:szCs w:val="19"/>
              </w:rPr>
              <w:t xml:space="preserve"> and structural fire protection?</w:t>
            </w:r>
          </w:p>
        </w:tc>
        <w:tc>
          <w:tcPr>
            <w:tcW w:w="1152" w:type="dxa"/>
            <w:tcBorders>
              <w:top w:val="single" w:sz="4" w:space="0" w:color="auto"/>
              <w:bottom w:val="single" w:sz="4" w:space="0" w:color="auto"/>
            </w:tcBorders>
            <w:vAlign w:val="center"/>
          </w:tcPr>
          <w:p w14:paraId="7FFD5341"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346FDBD3"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42510731" w14:textId="031CDF38" w:rsidR="00AE605B" w:rsidRPr="00AE605B" w:rsidRDefault="000F5602"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Check29"/>
                  <w:enabled/>
                  <w:calcOnExit w:val="0"/>
                  <w:checkBox>
                    <w:sizeAuto/>
                    <w:default w:val="1"/>
                  </w:checkBox>
                </w:ffData>
              </w:fldChar>
            </w:r>
            <w:bookmarkStart w:id="9" w:name="Check29"/>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bookmarkEnd w:id="9"/>
          </w:p>
        </w:tc>
      </w:tr>
      <w:tr w:rsidR="00AE605B" w:rsidRPr="00AE605B" w14:paraId="5BF902CD" w14:textId="77777777" w:rsidTr="00184588">
        <w:trPr>
          <w:cantSplit/>
          <w:trHeight w:val="735"/>
        </w:trPr>
        <w:tc>
          <w:tcPr>
            <w:tcW w:w="6048" w:type="dxa"/>
            <w:tcBorders>
              <w:top w:val="single" w:sz="4" w:space="0" w:color="auto"/>
              <w:bottom w:val="single" w:sz="4" w:space="0" w:color="auto"/>
            </w:tcBorders>
            <w:vAlign w:val="center"/>
          </w:tcPr>
          <w:p w14:paraId="0DE3CD3F" w14:textId="77777777" w:rsidR="00AE605B" w:rsidRPr="00AE605B" w:rsidRDefault="00AE605B" w:rsidP="009762DA">
            <w:pPr>
              <w:numPr>
                <w:ilvl w:val="0"/>
                <w:numId w:val="14"/>
              </w:numPr>
              <w:spacing w:before="60" w:after="60" w:line="240" w:lineRule="auto"/>
              <w:rPr>
                <w:rFonts w:ascii="Arial" w:hAnsi="Arial" w:cs="Arial"/>
                <w:i/>
                <w:sz w:val="19"/>
                <w:szCs w:val="19"/>
              </w:rPr>
            </w:pPr>
            <w:r w:rsidRPr="00AE605B">
              <w:rPr>
                <w:rFonts w:ascii="Arial" w:hAnsi="Arial" w:cs="Arial"/>
                <w:i/>
                <w:sz w:val="19"/>
                <w:szCs w:val="19"/>
              </w:rPr>
              <w:t>If “yes” to a), it is feasible for the agency to be reorganized such that it can extend service to the disadvantaged unincorporated community? If “no” to a), this question is marked “no” because it is either not needed or not applicable.</w:t>
            </w:r>
          </w:p>
        </w:tc>
        <w:tc>
          <w:tcPr>
            <w:tcW w:w="1152" w:type="dxa"/>
            <w:tcBorders>
              <w:top w:val="single" w:sz="4" w:space="0" w:color="auto"/>
              <w:bottom w:val="single" w:sz="4" w:space="0" w:color="auto"/>
            </w:tcBorders>
            <w:vAlign w:val="center"/>
          </w:tcPr>
          <w:p w14:paraId="7745903F"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42BBC117"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37EB611A" w14:textId="18C38360" w:rsidR="00AE605B" w:rsidRPr="00AE605B" w:rsidRDefault="000F5602"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0357A962" w14:textId="0DF1ADD0" w:rsidR="00A86C1F" w:rsidRDefault="00AD3B2F" w:rsidP="0049789D">
      <w:pPr>
        <w:keepNext/>
        <w:keepLines/>
        <w:spacing w:after="120" w:line="240" w:lineRule="auto"/>
        <w:ind w:left="360" w:hanging="360"/>
        <w:rPr>
          <w:rFonts w:ascii="Arial" w:eastAsia="Times New Roman" w:hAnsi="Arial" w:cs="Arial"/>
          <w:b/>
        </w:rPr>
      </w:pPr>
      <w:bookmarkStart w:id="10" w:name="_Hlk108180944"/>
      <w:r>
        <w:rPr>
          <w:rFonts w:ascii="Arial" w:eastAsia="Times New Roman" w:hAnsi="Arial" w:cs="Arial"/>
          <w:b/>
        </w:rPr>
        <w:t>Discussion:</w:t>
      </w:r>
    </w:p>
    <w:p w14:paraId="0BA5C4EE" w14:textId="09C8B293" w:rsidR="00AD3B2F" w:rsidRPr="00AD3B2F" w:rsidRDefault="00AD3B2F" w:rsidP="0049789D">
      <w:pPr>
        <w:keepNext/>
        <w:keepLines/>
        <w:spacing w:after="120" w:line="240" w:lineRule="auto"/>
        <w:ind w:left="360" w:hanging="360"/>
        <w:rPr>
          <w:rFonts w:ascii="Arial" w:eastAsia="Times New Roman" w:hAnsi="Arial" w:cs="Arial"/>
          <w:bCs/>
        </w:rPr>
      </w:pPr>
      <w:r w:rsidRPr="00AD3B2F">
        <w:rPr>
          <w:rFonts w:ascii="Arial" w:eastAsia="Times New Roman" w:hAnsi="Arial" w:cs="Arial"/>
          <w:bCs/>
        </w:rPr>
        <w:t>None.</w:t>
      </w:r>
    </w:p>
    <w:p w14:paraId="6C1415D6" w14:textId="283E9144" w:rsidR="008F118C" w:rsidRDefault="008F118C" w:rsidP="00AD3B2F">
      <w:pPr>
        <w:spacing w:after="120" w:line="240" w:lineRule="auto"/>
        <w:ind w:left="360" w:hanging="360"/>
        <w:rPr>
          <w:rFonts w:ascii="Arial" w:eastAsia="Times New Roman" w:hAnsi="Arial" w:cs="Arial"/>
          <w:b/>
        </w:rPr>
      </w:pPr>
      <w:r>
        <w:rPr>
          <w:rFonts w:ascii="Arial" w:eastAsia="Times New Roman" w:hAnsi="Arial" w:cs="Arial"/>
          <w:b/>
        </w:rPr>
        <w:t>Disadvantaged Unincorporated Communities</w:t>
      </w:r>
      <w:r w:rsidRPr="00AE605B">
        <w:rPr>
          <w:rFonts w:ascii="Arial" w:eastAsia="Times New Roman" w:hAnsi="Arial" w:cs="Arial"/>
          <w:b/>
        </w:rPr>
        <w:t xml:space="preserve"> MSR Determination</w:t>
      </w:r>
      <w:r>
        <w:rPr>
          <w:rFonts w:ascii="Arial" w:eastAsia="Times New Roman" w:hAnsi="Arial" w:cs="Arial"/>
          <w:b/>
        </w:rPr>
        <w:t>:</w:t>
      </w:r>
    </w:p>
    <w:p w14:paraId="59969665" w14:textId="61D6FD6C" w:rsidR="008F118C" w:rsidRPr="00B92AFE" w:rsidRDefault="00A86C1F" w:rsidP="00AD3B2F">
      <w:pPr>
        <w:spacing w:after="120" w:line="240" w:lineRule="auto"/>
        <w:rPr>
          <w:rFonts w:ascii="Arial" w:eastAsia="Times New Roman" w:hAnsi="Arial" w:cs="Arial"/>
          <w:bCs/>
        </w:rPr>
      </w:pPr>
      <w:r>
        <w:rPr>
          <w:rFonts w:ascii="Arial" w:eastAsia="Times New Roman" w:hAnsi="Arial" w:cs="Arial"/>
          <w:bCs/>
        </w:rPr>
        <w:t xml:space="preserve">There are no disadvantaged unincorporated communities within or contiguous to the </w:t>
      </w:r>
      <w:r w:rsidR="004D3961">
        <w:rPr>
          <w:rFonts w:ascii="Arial" w:eastAsia="Times New Roman" w:hAnsi="Arial" w:cs="Arial"/>
          <w:bCs/>
        </w:rPr>
        <w:t>El Macero</w:t>
      </w:r>
      <w:r>
        <w:rPr>
          <w:rFonts w:ascii="Arial" w:eastAsia="Times New Roman" w:hAnsi="Arial" w:cs="Arial"/>
          <w:bCs/>
        </w:rPr>
        <w:t xml:space="preserve"> CSA</w:t>
      </w:r>
      <w:r w:rsidR="00652EBE">
        <w:rPr>
          <w:rStyle w:val="FootnoteReference"/>
          <w:rFonts w:ascii="Arial" w:eastAsia="Times New Roman" w:hAnsi="Arial" w:cs="Arial"/>
          <w:bCs/>
        </w:rPr>
        <w:footnoteReference w:id="1"/>
      </w:r>
      <w:r w:rsidR="00B92AFE" w:rsidRPr="00B92AFE">
        <w:rPr>
          <w:rFonts w:ascii="Arial" w:eastAsia="Times New Roman" w:hAnsi="Arial" w:cs="Arial"/>
          <w:bCs/>
        </w:rPr>
        <w:t xml:space="preserve">. </w:t>
      </w:r>
    </w:p>
    <w:p w14:paraId="0141BC1F" w14:textId="77777777" w:rsidR="0049789D" w:rsidRPr="008F118C" w:rsidRDefault="0049789D" w:rsidP="0049789D">
      <w:pPr>
        <w:spacing w:after="120" w:line="240" w:lineRule="auto"/>
        <w:ind w:left="360" w:hanging="360"/>
        <w:rPr>
          <w:rFonts w:ascii="Arial" w:eastAsia="Times New Roman" w:hAnsi="Arial" w:cs="Arial"/>
          <w:b/>
          <w:bCs/>
        </w:rPr>
      </w:pPr>
      <w:r w:rsidRPr="008F118C">
        <w:rPr>
          <w:rFonts w:ascii="Arial" w:eastAsia="Times New Roman" w:hAnsi="Arial" w:cs="Arial"/>
          <w:b/>
          <w:bCs/>
        </w:rPr>
        <w:t>Recommendation(s):</w:t>
      </w:r>
    </w:p>
    <w:p w14:paraId="51DA9A9F" w14:textId="77777777" w:rsidR="0049789D" w:rsidRPr="00AE605B" w:rsidRDefault="0049789D" w:rsidP="0049789D">
      <w:pPr>
        <w:spacing w:after="120" w:line="240" w:lineRule="auto"/>
        <w:ind w:left="360" w:hanging="360"/>
        <w:rPr>
          <w:rFonts w:ascii="Arial" w:eastAsia="Times New Roman" w:hAnsi="Arial" w:cs="Arial"/>
        </w:rPr>
      </w:pPr>
      <w:r>
        <w:rPr>
          <w:rFonts w:ascii="Arial" w:eastAsia="Times New Roman" w:hAnsi="Arial" w:cs="Arial"/>
        </w:rPr>
        <w:t xml:space="preserve">None. </w:t>
      </w:r>
    </w:p>
    <w:bookmarkEnd w:id="10"/>
    <w:p w14:paraId="3515D610" w14:textId="77777777" w:rsidR="00AE605B" w:rsidRPr="00AE605B" w:rsidRDefault="00AE605B" w:rsidP="00E669DD">
      <w:pPr>
        <w:spacing w:after="120" w:line="240" w:lineRule="auto"/>
        <w:ind w:left="720"/>
        <w:rPr>
          <w:rFonts w:ascii="Arial" w:eastAsia="Times New Roman" w:hAnsi="Arial" w:cs="Arial"/>
        </w:rPr>
      </w:pP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1152"/>
        <w:gridCol w:w="1152"/>
        <w:gridCol w:w="1152"/>
      </w:tblGrid>
      <w:tr w:rsidR="00AE605B" w:rsidRPr="00AE605B" w14:paraId="1A775C00" w14:textId="77777777" w:rsidTr="00184588">
        <w:trPr>
          <w:cantSplit/>
        </w:trPr>
        <w:tc>
          <w:tcPr>
            <w:tcW w:w="9504" w:type="dxa"/>
            <w:gridSpan w:val="4"/>
            <w:tcBorders>
              <w:top w:val="single" w:sz="12" w:space="0" w:color="auto"/>
            </w:tcBorders>
            <w:shd w:val="clear" w:color="auto" w:fill="D9D9D9"/>
          </w:tcPr>
          <w:p w14:paraId="21C1E65A" w14:textId="406F6AD8" w:rsidR="00AE605B" w:rsidRPr="005D4AC7" w:rsidRDefault="00AE605B" w:rsidP="00AD3B2F">
            <w:pPr>
              <w:pStyle w:val="Heading3"/>
              <w:keepNext/>
              <w:outlineLvl w:val="2"/>
              <w:rPr>
                <w:color w:val="auto"/>
              </w:rPr>
            </w:pPr>
            <w:bookmarkStart w:id="11" w:name="_Toc108186089"/>
            <w:r w:rsidRPr="005D4AC7">
              <w:rPr>
                <w:color w:val="auto"/>
              </w:rPr>
              <w:lastRenderedPageBreak/>
              <w:t>3. C</w:t>
            </w:r>
            <w:r w:rsidR="005D4AC7" w:rsidRPr="005D4AC7">
              <w:rPr>
                <w:color w:val="auto"/>
              </w:rPr>
              <w:t>apacity and Adequacy of Public F</w:t>
            </w:r>
            <w:r w:rsidR="005D4AC7">
              <w:rPr>
                <w:color w:val="auto"/>
              </w:rPr>
              <w:t>a</w:t>
            </w:r>
            <w:r w:rsidR="005D4AC7" w:rsidRPr="005D4AC7">
              <w:rPr>
                <w:color w:val="auto"/>
              </w:rPr>
              <w:t>cilities and Services</w:t>
            </w:r>
            <w:bookmarkEnd w:id="11"/>
          </w:p>
          <w:p w14:paraId="26AEC990" w14:textId="77777777" w:rsidR="00AE605B" w:rsidRPr="00AE605B" w:rsidRDefault="00AE605B" w:rsidP="00AD3B2F">
            <w:pPr>
              <w:keepNext/>
              <w:spacing w:after="120" w:line="240" w:lineRule="auto"/>
              <w:rPr>
                <w:rFonts w:ascii="Arial" w:hAnsi="Arial" w:cs="Arial"/>
                <w:b/>
                <w:i/>
                <w:sz w:val="19"/>
                <w:szCs w:val="19"/>
              </w:rPr>
            </w:pPr>
            <w:r w:rsidRPr="00AE605B">
              <w:rPr>
                <w:rFonts w:ascii="Arial" w:hAnsi="Arial" w:cs="Arial"/>
                <w:sz w:val="19"/>
                <w:szCs w:val="19"/>
              </w:rPr>
              <w:t>Present and planned capacity of public facilities, adequacy of public services, and infrastructure needs or deficiencies including needs or deficiencies related to sewers, municipal and industrial water, and structural fire protection in any disadvantaged, unincorporated communities within or contiguous to the sphere of influence.</w:t>
            </w:r>
          </w:p>
        </w:tc>
      </w:tr>
      <w:tr w:rsidR="008F118C" w:rsidRPr="00AE605B" w14:paraId="5E95722B" w14:textId="77777777" w:rsidTr="00184588">
        <w:trPr>
          <w:cantSplit/>
          <w:trHeight w:val="144"/>
        </w:trPr>
        <w:tc>
          <w:tcPr>
            <w:tcW w:w="6048" w:type="dxa"/>
            <w:tcBorders>
              <w:bottom w:val="single" w:sz="12" w:space="0" w:color="auto"/>
            </w:tcBorders>
            <w:shd w:val="clear" w:color="auto" w:fill="D9D9D9"/>
            <w:vAlign w:val="bottom"/>
          </w:tcPr>
          <w:p w14:paraId="701138CD" w14:textId="77777777" w:rsidR="008F118C" w:rsidRPr="00AE605B" w:rsidRDefault="008F118C" w:rsidP="00AD3B2F">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5FBCF147" w14:textId="203FEC42"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bottom w:val="single" w:sz="12" w:space="0" w:color="auto"/>
            </w:tcBorders>
            <w:shd w:val="clear" w:color="auto" w:fill="D9D9D9"/>
            <w:vAlign w:val="bottom"/>
          </w:tcPr>
          <w:p w14:paraId="6E8124B4" w14:textId="668ABF65"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2" w:type="dxa"/>
            <w:tcBorders>
              <w:bottom w:val="single" w:sz="12" w:space="0" w:color="auto"/>
            </w:tcBorders>
            <w:shd w:val="clear" w:color="auto" w:fill="D9D9D9"/>
            <w:vAlign w:val="bottom"/>
          </w:tcPr>
          <w:p w14:paraId="6B6A0D84" w14:textId="0FE2E7DB"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B9168F" w:rsidRPr="00AE605B" w14:paraId="208D58FD" w14:textId="77777777" w:rsidTr="009762DA">
        <w:trPr>
          <w:cantSplit/>
        </w:trPr>
        <w:tc>
          <w:tcPr>
            <w:tcW w:w="6048" w:type="dxa"/>
            <w:tcBorders>
              <w:top w:val="single" w:sz="12" w:space="0" w:color="auto"/>
              <w:left w:val="nil"/>
              <w:bottom w:val="single" w:sz="4" w:space="0" w:color="auto"/>
              <w:right w:val="nil"/>
            </w:tcBorders>
            <w:vAlign w:val="center"/>
          </w:tcPr>
          <w:p w14:paraId="2649C725" w14:textId="309001D2" w:rsidR="00B9168F" w:rsidRPr="00AE605B" w:rsidRDefault="00B9168F" w:rsidP="00AD3B2F">
            <w:pPr>
              <w:keepNext/>
              <w:numPr>
                <w:ilvl w:val="0"/>
                <w:numId w:val="13"/>
              </w:numPr>
              <w:spacing w:before="60" w:after="60" w:line="240" w:lineRule="auto"/>
              <w:rPr>
                <w:rFonts w:ascii="Arial" w:hAnsi="Arial" w:cs="Arial"/>
                <w:i/>
                <w:sz w:val="19"/>
                <w:szCs w:val="19"/>
              </w:rPr>
            </w:pPr>
            <w:r>
              <w:rPr>
                <w:rFonts w:ascii="Arial" w:hAnsi="Arial" w:cs="Arial"/>
                <w:i/>
                <w:sz w:val="19"/>
                <w:szCs w:val="19"/>
              </w:rPr>
              <w:t xml:space="preserve">Are there any deficiencies in the </w:t>
            </w:r>
            <w:r>
              <w:rPr>
                <w:rFonts w:ascii="Arial" w:hAnsi="Arial" w:cs="Arial"/>
                <w:b/>
                <w:bCs/>
                <w:i/>
                <w:sz w:val="19"/>
                <w:szCs w:val="19"/>
              </w:rPr>
              <w:t>infrastructure, equipment, and capacity of agency facilities</w:t>
            </w:r>
            <w:r>
              <w:rPr>
                <w:rFonts w:ascii="Arial" w:hAnsi="Arial" w:cs="Arial"/>
                <w:i/>
                <w:sz w:val="19"/>
                <w:szCs w:val="19"/>
              </w:rPr>
              <w:t xml:space="preserve"> to meet </w:t>
            </w:r>
            <w:r>
              <w:rPr>
                <w:rFonts w:ascii="Arial" w:hAnsi="Arial" w:cs="Arial"/>
                <w:i/>
                <w:sz w:val="19"/>
                <w:szCs w:val="19"/>
                <w:u w:val="single"/>
              </w:rPr>
              <w:t>existing</w:t>
            </w:r>
            <w:r>
              <w:rPr>
                <w:rFonts w:ascii="Arial" w:hAnsi="Arial" w:cs="Arial"/>
                <w:i/>
                <w:sz w:val="19"/>
                <w:szCs w:val="19"/>
              </w:rPr>
              <w:t xml:space="preserve"> service needs for which the agency does not have a plan in place to resolve (including deficiencies created by new state regulations)?</w:t>
            </w:r>
          </w:p>
        </w:tc>
        <w:tc>
          <w:tcPr>
            <w:tcW w:w="1152" w:type="dxa"/>
            <w:tcBorders>
              <w:top w:val="single" w:sz="12" w:space="0" w:color="auto"/>
              <w:bottom w:val="single" w:sz="4" w:space="0" w:color="auto"/>
            </w:tcBorders>
            <w:vAlign w:val="center"/>
          </w:tcPr>
          <w:p w14:paraId="7769A304" w14:textId="77777777"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12" w:space="0" w:color="auto"/>
              <w:bottom w:val="single" w:sz="4" w:space="0" w:color="auto"/>
            </w:tcBorders>
            <w:vAlign w:val="center"/>
          </w:tcPr>
          <w:p w14:paraId="2A9FC2B8" w14:textId="0A4713CE" w:rsidR="00B9168F" w:rsidRPr="00AE605B" w:rsidRDefault="00E138F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2" w:type="dxa"/>
            <w:tcBorders>
              <w:top w:val="single" w:sz="12" w:space="0" w:color="auto"/>
              <w:bottom w:val="single" w:sz="4" w:space="0" w:color="auto"/>
            </w:tcBorders>
            <w:vAlign w:val="center"/>
          </w:tcPr>
          <w:p w14:paraId="4DFDE6D5" w14:textId="3A2F4354" w:rsidR="00B9168F" w:rsidRPr="00AE605B" w:rsidRDefault="00E138F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B9168F" w:rsidRPr="00AE605B" w14:paraId="184A5A48" w14:textId="77777777" w:rsidTr="009762DA">
        <w:trPr>
          <w:cantSplit/>
        </w:trPr>
        <w:tc>
          <w:tcPr>
            <w:tcW w:w="6048" w:type="dxa"/>
            <w:tcBorders>
              <w:top w:val="single" w:sz="4" w:space="0" w:color="auto"/>
              <w:bottom w:val="single" w:sz="4" w:space="0" w:color="auto"/>
            </w:tcBorders>
            <w:vAlign w:val="center"/>
          </w:tcPr>
          <w:p w14:paraId="0E93749C" w14:textId="7955DC1A" w:rsidR="00B9168F" w:rsidRPr="00AE605B" w:rsidRDefault="00B9168F" w:rsidP="009762DA">
            <w:pPr>
              <w:numPr>
                <w:ilvl w:val="0"/>
                <w:numId w:val="13"/>
              </w:numPr>
              <w:spacing w:before="60" w:after="60" w:line="240" w:lineRule="auto"/>
              <w:rPr>
                <w:rFonts w:ascii="Arial" w:hAnsi="Arial" w:cs="Arial"/>
                <w:i/>
                <w:sz w:val="19"/>
                <w:szCs w:val="19"/>
              </w:rPr>
            </w:pPr>
            <w:r w:rsidRPr="00AE605B">
              <w:rPr>
                <w:rFonts w:ascii="Arial" w:hAnsi="Arial" w:cs="Arial"/>
                <w:i/>
                <w:sz w:val="19"/>
                <w:szCs w:val="19"/>
              </w:rPr>
              <w:t xml:space="preserve">Are there any issues regarding the agency’s capacity </w:t>
            </w:r>
            <w:r>
              <w:rPr>
                <w:rFonts w:ascii="Arial" w:hAnsi="Arial" w:cs="Arial"/>
                <w:i/>
                <w:sz w:val="19"/>
                <w:szCs w:val="19"/>
              </w:rPr>
              <w:t xml:space="preserve">and ability </w:t>
            </w:r>
            <w:r w:rsidRPr="00AE605B">
              <w:rPr>
                <w:rFonts w:ascii="Arial" w:hAnsi="Arial" w:cs="Arial"/>
                <w:i/>
                <w:sz w:val="19"/>
                <w:szCs w:val="19"/>
              </w:rPr>
              <w:t xml:space="preserve">to meet the service demand of reasonably foreseeable </w:t>
            </w:r>
            <w:r w:rsidRPr="00AE605B">
              <w:rPr>
                <w:rFonts w:ascii="Arial" w:hAnsi="Arial" w:cs="Arial"/>
                <w:i/>
                <w:sz w:val="19"/>
                <w:szCs w:val="19"/>
                <w:u w:val="single"/>
              </w:rPr>
              <w:t>future</w:t>
            </w:r>
            <w:r w:rsidRPr="00AE605B">
              <w:rPr>
                <w:rFonts w:ascii="Arial" w:hAnsi="Arial" w:cs="Arial"/>
                <w:i/>
                <w:sz w:val="19"/>
                <w:szCs w:val="19"/>
              </w:rPr>
              <w:t xml:space="preserve"> </w:t>
            </w:r>
            <w:r w:rsidR="009504F9">
              <w:rPr>
                <w:rFonts w:ascii="Arial" w:hAnsi="Arial" w:cs="Arial"/>
                <w:i/>
                <w:sz w:val="19"/>
                <w:szCs w:val="19"/>
              </w:rPr>
              <w:t>needs</w:t>
            </w:r>
            <w:r w:rsidRPr="00AE605B">
              <w:rPr>
                <w:rFonts w:ascii="Arial" w:hAnsi="Arial" w:cs="Arial"/>
                <w:i/>
                <w:sz w:val="19"/>
                <w:szCs w:val="19"/>
              </w:rPr>
              <w:t>?</w:t>
            </w:r>
          </w:p>
        </w:tc>
        <w:tc>
          <w:tcPr>
            <w:tcW w:w="1152" w:type="dxa"/>
            <w:tcBorders>
              <w:top w:val="single" w:sz="4" w:space="0" w:color="auto"/>
              <w:bottom w:val="single" w:sz="4" w:space="0" w:color="auto"/>
            </w:tcBorders>
            <w:vAlign w:val="center"/>
          </w:tcPr>
          <w:p w14:paraId="49ED4C14" w14:textId="77777777"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2F8C7914" w14:textId="77777777"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3B0DB7A0" w14:textId="6BD83FEC" w:rsidR="00B9168F" w:rsidRPr="00AE605B" w:rsidRDefault="00486FE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B9168F" w:rsidRPr="00AE605B" w14:paraId="0357EAB3" w14:textId="77777777" w:rsidTr="009762DA">
        <w:trPr>
          <w:cantSplit/>
        </w:trPr>
        <w:tc>
          <w:tcPr>
            <w:tcW w:w="6048" w:type="dxa"/>
            <w:tcBorders>
              <w:top w:val="single" w:sz="4" w:space="0" w:color="auto"/>
              <w:bottom w:val="single" w:sz="4" w:space="0" w:color="auto"/>
            </w:tcBorders>
            <w:vAlign w:val="center"/>
          </w:tcPr>
          <w:p w14:paraId="777637DF" w14:textId="6AB465A9" w:rsidR="00B9168F" w:rsidRPr="00AE605B" w:rsidRDefault="00F376C0" w:rsidP="009762DA">
            <w:pPr>
              <w:numPr>
                <w:ilvl w:val="0"/>
                <w:numId w:val="13"/>
              </w:numPr>
              <w:spacing w:before="60" w:after="60" w:line="240" w:lineRule="auto"/>
              <w:rPr>
                <w:rFonts w:ascii="Arial" w:hAnsi="Arial" w:cs="Arial"/>
                <w:i/>
                <w:sz w:val="19"/>
                <w:szCs w:val="19"/>
              </w:rPr>
            </w:pPr>
            <w:r w:rsidRPr="00AE605B">
              <w:rPr>
                <w:rFonts w:ascii="Arial" w:hAnsi="Arial" w:cs="Arial"/>
                <w:i/>
                <w:sz w:val="19"/>
                <w:szCs w:val="19"/>
              </w:rPr>
              <w:t>Are there any service needs or deficiencies for disadvantaged unincorporated communities related to sewers, municipal and industrial water, and structural fire protection within or contiguous to the agency’s sphere of influence?</w:t>
            </w:r>
          </w:p>
        </w:tc>
        <w:tc>
          <w:tcPr>
            <w:tcW w:w="1152" w:type="dxa"/>
            <w:tcBorders>
              <w:top w:val="single" w:sz="4" w:space="0" w:color="auto"/>
              <w:bottom w:val="single" w:sz="4" w:space="0" w:color="auto"/>
            </w:tcBorders>
            <w:vAlign w:val="center"/>
          </w:tcPr>
          <w:p w14:paraId="0D4A5D4D" w14:textId="77777777"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78EA0D0A" w14:textId="77777777"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46033012" w14:textId="1F277CA3" w:rsidR="00B9168F" w:rsidRPr="00AE605B" w:rsidRDefault="00486FE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B9168F" w:rsidRPr="00AE605B" w14:paraId="52865258" w14:textId="77777777" w:rsidTr="009762DA">
        <w:trPr>
          <w:cantSplit/>
        </w:trPr>
        <w:tc>
          <w:tcPr>
            <w:tcW w:w="6048" w:type="dxa"/>
            <w:tcBorders>
              <w:top w:val="single" w:sz="4" w:space="0" w:color="auto"/>
              <w:bottom w:val="single" w:sz="4" w:space="0" w:color="auto"/>
            </w:tcBorders>
            <w:vAlign w:val="center"/>
          </w:tcPr>
          <w:p w14:paraId="6AA1F3FB" w14:textId="14BB262E" w:rsidR="00B9168F" w:rsidRPr="00AE605B" w:rsidRDefault="00F376C0" w:rsidP="009762DA">
            <w:pPr>
              <w:numPr>
                <w:ilvl w:val="0"/>
                <w:numId w:val="13"/>
              </w:numPr>
              <w:spacing w:before="60" w:after="60" w:line="240" w:lineRule="auto"/>
              <w:rPr>
                <w:rFonts w:ascii="Arial" w:hAnsi="Arial" w:cs="Arial"/>
                <w:i/>
                <w:sz w:val="19"/>
                <w:szCs w:val="19"/>
              </w:rPr>
            </w:pPr>
            <w:r w:rsidRPr="00AE605B">
              <w:rPr>
                <w:rFonts w:ascii="Arial" w:hAnsi="Arial" w:cs="Arial"/>
                <w:i/>
                <w:sz w:val="19"/>
                <w:szCs w:val="19"/>
              </w:rPr>
              <w:t>Is the agency needing to consider climate adaptation in its assessment of infrastructure/service needs?</w:t>
            </w:r>
          </w:p>
        </w:tc>
        <w:tc>
          <w:tcPr>
            <w:tcW w:w="1152" w:type="dxa"/>
            <w:tcBorders>
              <w:top w:val="single" w:sz="4" w:space="0" w:color="auto"/>
              <w:bottom w:val="single" w:sz="4" w:space="0" w:color="auto"/>
            </w:tcBorders>
            <w:vAlign w:val="center"/>
          </w:tcPr>
          <w:p w14:paraId="6219C42A" w14:textId="49A57A79"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11877340" w14:textId="6C585EBA" w:rsidR="00B9168F" w:rsidRPr="00AE605B" w:rsidRDefault="00B9168F"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145D189F" w14:textId="409C186C" w:rsidR="00B9168F" w:rsidRPr="00AE605B" w:rsidRDefault="00486FE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02A74F7C" w14:textId="27CD37A5" w:rsidR="008F118C" w:rsidRDefault="008F118C" w:rsidP="00726DA1">
      <w:pPr>
        <w:spacing w:after="120" w:line="240" w:lineRule="auto"/>
        <w:rPr>
          <w:rFonts w:ascii="Arial" w:eastAsia="Times New Roman" w:hAnsi="Arial" w:cs="Arial"/>
          <w:b/>
        </w:rPr>
      </w:pPr>
      <w:r w:rsidRPr="00AE605B">
        <w:rPr>
          <w:rFonts w:ascii="Arial" w:eastAsia="Times New Roman" w:hAnsi="Arial" w:cs="Arial"/>
          <w:b/>
        </w:rPr>
        <w:t xml:space="preserve">Discussion: </w:t>
      </w:r>
    </w:p>
    <w:p w14:paraId="1871EB2C" w14:textId="41246C65" w:rsidR="00EA5C73" w:rsidRPr="00EA5C73" w:rsidRDefault="004D3961" w:rsidP="00EA5C73">
      <w:pPr>
        <w:spacing w:before="120" w:after="120" w:line="240" w:lineRule="auto"/>
        <w:rPr>
          <w:rFonts w:ascii="Arial" w:eastAsia="Times New Roman" w:hAnsi="Arial" w:cs="Arial"/>
        </w:rPr>
      </w:pPr>
      <w:bookmarkStart w:id="12" w:name="_Hlk116556508"/>
      <w:r w:rsidRPr="004D3961">
        <w:rPr>
          <w:rFonts w:ascii="Arial" w:eastAsia="Times New Roman" w:hAnsi="Arial" w:cs="Arial"/>
        </w:rPr>
        <w:t xml:space="preserve">El Macero CSA was formed in 1969 as a replacement to the El Macero Sewer Maintenance District and the El Macero Unit #1 Maintenance District that provided water services. Storm drainage services provided by the City of Davis was included in the CSA formation. In 1971, the </w:t>
      </w:r>
      <w:r w:rsidR="00146BB6">
        <w:rPr>
          <w:rFonts w:ascii="Arial" w:eastAsia="Times New Roman" w:hAnsi="Arial" w:cs="Arial"/>
        </w:rPr>
        <w:t>BOS</w:t>
      </w:r>
      <w:r w:rsidR="00146BB6" w:rsidRPr="004D3961">
        <w:rPr>
          <w:rFonts w:ascii="Arial" w:eastAsia="Times New Roman" w:hAnsi="Arial" w:cs="Arial"/>
        </w:rPr>
        <w:t xml:space="preserve"> </w:t>
      </w:r>
      <w:r w:rsidRPr="004D3961">
        <w:rPr>
          <w:rFonts w:ascii="Arial" w:eastAsia="Times New Roman" w:hAnsi="Arial" w:cs="Arial"/>
        </w:rPr>
        <w:t xml:space="preserve">authorized street sweeping and street lighting services. In 1994, the </w:t>
      </w:r>
      <w:r w:rsidR="00146BB6">
        <w:rPr>
          <w:rFonts w:ascii="Arial" w:eastAsia="Times New Roman" w:hAnsi="Arial" w:cs="Arial"/>
        </w:rPr>
        <w:t>BOS</w:t>
      </w:r>
      <w:r w:rsidR="00146BB6" w:rsidRPr="004D3961">
        <w:rPr>
          <w:rFonts w:ascii="Arial" w:eastAsia="Times New Roman" w:hAnsi="Arial" w:cs="Arial"/>
        </w:rPr>
        <w:t xml:space="preserve"> </w:t>
      </w:r>
      <w:r w:rsidRPr="004D3961">
        <w:rPr>
          <w:rFonts w:ascii="Arial" w:eastAsia="Times New Roman" w:hAnsi="Arial" w:cs="Arial"/>
        </w:rPr>
        <w:t>approved the addition of street improvements/maintenance and landscaping work.</w:t>
      </w:r>
      <w:r w:rsidR="00647337">
        <w:rPr>
          <w:rFonts w:ascii="Arial" w:hAnsi="Arial" w:cs="Arial"/>
        </w:rPr>
        <w:t xml:space="preserve"> </w:t>
      </w:r>
      <w:r w:rsidR="002A434E">
        <w:rPr>
          <w:rFonts w:ascii="Arial" w:hAnsi="Arial" w:cs="Arial"/>
        </w:rPr>
        <w:t xml:space="preserve">The following services (and corresponding funds) are provided by the CSA. </w:t>
      </w:r>
      <w:r w:rsidR="002A434E" w:rsidRPr="002A434E">
        <w:rPr>
          <w:rFonts w:ascii="Arial" w:hAnsi="Arial" w:cs="Arial"/>
        </w:rPr>
        <w:t xml:space="preserve">The CSA advisory committee has subcommittees that focus on issues related to </w:t>
      </w:r>
      <w:r w:rsidR="002A434E">
        <w:rPr>
          <w:rFonts w:ascii="Arial" w:hAnsi="Arial" w:cs="Arial"/>
        </w:rPr>
        <w:t>service area</w:t>
      </w:r>
      <w:r w:rsidR="00DC2916">
        <w:rPr>
          <w:rFonts w:ascii="Arial" w:hAnsi="Arial" w:cs="Arial"/>
        </w:rPr>
        <w:t>s</w:t>
      </w:r>
      <w:r w:rsidR="002A434E" w:rsidRPr="002A434E">
        <w:rPr>
          <w:rFonts w:ascii="Arial" w:hAnsi="Arial" w:cs="Arial"/>
        </w:rPr>
        <w:t>.</w:t>
      </w:r>
    </w:p>
    <w:tbl>
      <w:tblPr>
        <w:tblStyle w:val="TableGrid4"/>
        <w:tblW w:w="0" w:type="auto"/>
        <w:jc w:val="center"/>
        <w:tblLook w:val="04A0" w:firstRow="1" w:lastRow="0" w:firstColumn="1" w:lastColumn="0" w:noHBand="0" w:noVBand="1"/>
      </w:tblPr>
      <w:tblGrid>
        <w:gridCol w:w="6020"/>
        <w:gridCol w:w="1795"/>
      </w:tblGrid>
      <w:tr w:rsidR="00EA5C73" w:rsidRPr="00EA5C73" w14:paraId="43DE0821" w14:textId="77777777" w:rsidTr="005C66DE">
        <w:trPr>
          <w:trHeight w:val="288"/>
          <w:jc w:val="center"/>
        </w:trPr>
        <w:tc>
          <w:tcPr>
            <w:tcW w:w="0" w:type="auto"/>
            <w:shd w:val="clear" w:color="auto" w:fill="D9D9D9" w:themeFill="background1" w:themeFillShade="D9"/>
          </w:tcPr>
          <w:p w14:paraId="6557A344" w14:textId="77777777" w:rsidR="00EA5C73" w:rsidRPr="00EA5C73" w:rsidRDefault="00EA5C73" w:rsidP="00EA5C73">
            <w:pPr>
              <w:tabs>
                <w:tab w:val="left" w:pos="360"/>
              </w:tabs>
              <w:spacing w:before="60" w:after="60" w:line="240" w:lineRule="auto"/>
              <w:jc w:val="center"/>
              <w:rPr>
                <w:rFonts w:ascii="Arial" w:eastAsia="Times New Roman" w:hAnsi="Arial" w:cs="Arial"/>
                <w:b/>
              </w:rPr>
            </w:pPr>
            <w:r w:rsidRPr="00EA5C73">
              <w:rPr>
                <w:rFonts w:ascii="Arial" w:eastAsia="Times New Roman" w:hAnsi="Arial" w:cs="Arial"/>
                <w:b/>
              </w:rPr>
              <w:t xml:space="preserve">Existing CSA Services Authorized/Provided </w:t>
            </w:r>
          </w:p>
        </w:tc>
        <w:tc>
          <w:tcPr>
            <w:tcW w:w="0" w:type="auto"/>
            <w:shd w:val="clear" w:color="auto" w:fill="D9D9D9" w:themeFill="background1" w:themeFillShade="D9"/>
          </w:tcPr>
          <w:p w14:paraId="6E1F5A74" w14:textId="77777777" w:rsidR="00EA5C73" w:rsidRPr="00EA5C73" w:rsidRDefault="00EA5C73" w:rsidP="00EA5C73">
            <w:pPr>
              <w:tabs>
                <w:tab w:val="left" w:pos="360"/>
              </w:tabs>
              <w:spacing w:before="60" w:after="60" w:line="240" w:lineRule="auto"/>
              <w:jc w:val="center"/>
              <w:rPr>
                <w:rFonts w:ascii="Arial" w:eastAsia="Times New Roman" w:hAnsi="Arial" w:cs="Arial"/>
                <w:b/>
              </w:rPr>
            </w:pPr>
            <w:r w:rsidRPr="00EA5C73">
              <w:rPr>
                <w:rFonts w:ascii="Arial" w:eastAsia="Times New Roman" w:hAnsi="Arial" w:cs="Arial"/>
                <w:b/>
              </w:rPr>
              <w:t>Service Provider</w:t>
            </w:r>
          </w:p>
        </w:tc>
      </w:tr>
      <w:tr w:rsidR="00EA5C73" w:rsidRPr="00EA5C73" w14:paraId="74595044" w14:textId="77777777" w:rsidTr="005C66DE">
        <w:trPr>
          <w:trHeight w:val="288"/>
          <w:jc w:val="center"/>
        </w:trPr>
        <w:tc>
          <w:tcPr>
            <w:tcW w:w="0" w:type="auto"/>
          </w:tcPr>
          <w:p w14:paraId="37EABAB9" w14:textId="77777777" w:rsidR="00EA5C73" w:rsidRPr="00EA5C73" w:rsidRDefault="00EA5C73" w:rsidP="00EA5C73">
            <w:pPr>
              <w:tabs>
                <w:tab w:val="left" w:pos="360"/>
              </w:tabs>
              <w:spacing w:before="60" w:after="60" w:line="240" w:lineRule="auto"/>
              <w:rPr>
                <w:rFonts w:ascii="Arial" w:eastAsia="Times New Roman" w:hAnsi="Arial" w:cs="Arial"/>
              </w:rPr>
            </w:pPr>
            <w:r w:rsidRPr="00EA5C73">
              <w:rPr>
                <w:rFonts w:ascii="Arial" w:eastAsia="Times New Roman" w:hAnsi="Arial" w:cs="Arial"/>
              </w:rPr>
              <w:t>Municipal Water</w:t>
            </w:r>
          </w:p>
        </w:tc>
        <w:tc>
          <w:tcPr>
            <w:tcW w:w="0" w:type="auto"/>
          </w:tcPr>
          <w:p w14:paraId="430A11CA" w14:textId="77777777" w:rsidR="00EA5C73" w:rsidRPr="00EA5C73" w:rsidRDefault="00EA5C73" w:rsidP="00EA5C73">
            <w:pPr>
              <w:tabs>
                <w:tab w:val="left" w:pos="360"/>
              </w:tabs>
              <w:spacing w:before="60" w:after="60" w:line="240" w:lineRule="auto"/>
              <w:jc w:val="center"/>
              <w:rPr>
                <w:rFonts w:ascii="Arial" w:eastAsia="Times New Roman" w:hAnsi="Arial" w:cs="Arial"/>
              </w:rPr>
            </w:pPr>
            <w:r w:rsidRPr="00EA5C73">
              <w:rPr>
                <w:rFonts w:ascii="Arial" w:eastAsia="Times New Roman" w:hAnsi="Arial" w:cs="Arial"/>
              </w:rPr>
              <w:t>City of Davis</w:t>
            </w:r>
          </w:p>
        </w:tc>
      </w:tr>
      <w:tr w:rsidR="00EA5C73" w:rsidRPr="00EA5C73" w14:paraId="108C2BAB" w14:textId="77777777" w:rsidTr="005C66DE">
        <w:trPr>
          <w:trHeight w:val="288"/>
          <w:jc w:val="center"/>
        </w:trPr>
        <w:tc>
          <w:tcPr>
            <w:tcW w:w="0" w:type="auto"/>
          </w:tcPr>
          <w:p w14:paraId="21693166" w14:textId="77777777" w:rsidR="00EA5C73" w:rsidRPr="00EA5C73" w:rsidRDefault="00EA5C73" w:rsidP="00EA5C73">
            <w:pPr>
              <w:tabs>
                <w:tab w:val="left" w:pos="360"/>
              </w:tabs>
              <w:spacing w:before="60" w:after="60" w:line="240" w:lineRule="auto"/>
              <w:rPr>
                <w:rFonts w:ascii="Arial" w:eastAsia="Times New Roman" w:hAnsi="Arial" w:cs="Arial"/>
              </w:rPr>
            </w:pPr>
            <w:r w:rsidRPr="00EA5C73">
              <w:rPr>
                <w:rFonts w:ascii="Arial" w:eastAsia="Times New Roman" w:hAnsi="Arial" w:cs="Arial"/>
              </w:rPr>
              <w:t>Sewer/Wastewater</w:t>
            </w:r>
          </w:p>
        </w:tc>
        <w:tc>
          <w:tcPr>
            <w:tcW w:w="0" w:type="auto"/>
          </w:tcPr>
          <w:p w14:paraId="5B98D0B9" w14:textId="77777777" w:rsidR="00EA5C73" w:rsidRPr="00EA5C73" w:rsidRDefault="00EA5C73" w:rsidP="00EA5C73">
            <w:pPr>
              <w:tabs>
                <w:tab w:val="left" w:pos="360"/>
              </w:tabs>
              <w:spacing w:before="60" w:after="60" w:line="240" w:lineRule="auto"/>
              <w:jc w:val="center"/>
              <w:rPr>
                <w:rFonts w:ascii="Arial" w:eastAsia="Times New Roman" w:hAnsi="Arial" w:cs="Arial"/>
              </w:rPr>
            </w:pPr>
            <w:r w:rsidRPr="00EA5C73">
              <w:rPr>
                <w:rFonts w:ascii="Arial" w:eastAsia="Times New Roman" w:hAnsi="Arial" w:cs="Arial"/>
              </w:rPr>
              <w:t>City of Davis</w:t>
            </w:r>
          </w:p>
        </w:tc>
      </w:tr>
      <w:tr w:rsidR="00EA5C73" w:rsidRPr="00EA5C73" w14:paraId="358A862E" w14:textId="77777777" w:rsidTr="005C66DE">
        <w:trPr>
          <w:trHeight w:val="288"/>
          <w:jc w:val="center"/>
        </w:trPr>
        <w:tc>
          <w:tcPr>
            <w:tcW w:w="0" w:type="auto"/>
          </w:tcPr>
          <w:p w14:paraId="06977EEF" w14:textId="24F30130" w:rsidR="00EA5C73" w:rsidRPr="00EA5C73" w:rsidRDefault="00E138F9" w:rsidP="00EA5C73">
            <w:pPr>
              <w:tabs>
                <w:tab w:val="left" w:pos="360"/>
              </w:tabs>
              <w:spacing w:before="60" w:after="60" w:line="240" w:lineRule="auto"/>
              <w:rPr>
                <w:rFonts w:ascii="Arial" w:eastAsia="Times New Roman" w:hAnsi="Arial" w:cs="Arial"/>
              </w:rPr>
            </w:pPr>
            <w:r w:rsidRPr="00EA5C73">
              <w:rPr>
                <w:rFonts w:ascii="Arial" w:eastAsia="Times New Roman" w:hAnsi="Arial" w:cs="Arial"/>
              </w:rPr>
              <w:t>Streets:</w:t>
            </w:r>
            <w:r w:rsidR="00EA5C73" w:rsidRPr="00EA5C73">
              <w:rPr>
                <w:rFonts w:ascii="Arial" w:eastAsia="Times New Roman" w:hAnsi="Arial" w:cs="Arial"/>
              </w:rPr>
              <w:t xml:space="preserve"> </w:t>
            </w:r>
            <w:r w:rsidRPr="00EA5C73">
              <w:rPr>
                <w:rFonts w:ascii="Arial" w:eastAsia="Times New Roman" w:hAnsi="Arial" w:cs="Arial"/>
              </w:rPr>
              <w:t>paving</w:t>
            </w:r>
            <w:r>
              <w:rPr>
                <w:rFonts w:ascii="Arial" w:eastAsia="Times New Roman" w:hAnsi="Arial" w:cs="Arial"/>
              </w:rPr>
              <w:t>,</w:t>
            </w:r>
            <w:r w:rsidRPr="00EA5C73">
              <w:rPr>
                <w:rFonts w:ascii="Arial" w:eastAsia="Times New Roman" w:hAnsi="Arial" w:cs="Arial"/>
              </w:rPr>
              <w:t xml:space="preserve"> </w:t>
            </w:r>
            <w:r w:rsidR="00EA5C73" w:rsidRPr="00EA5C73">
              <w:rPr>
                <w:rFonts w:ascii="Arial" w:eastAsia="Times New Roman" w:hAnsi="Arial" w:cs="Arial"/>
              </w:rPr>
              <w:t xml:space="preserve">maintenance, sweeping, and </w:t>
            </w:r>
            <w:r w:rsidRPr="00EA5C73">
              <w:rPr>
                <w:rFonts w:ascii="Arial" w:eastAsia="Times New Roman" w:hAnsi="Arial" w:cs="Arial"/>
              </w:rPr>
              <w:t>landscaping</w:t>
            </w:r>
            <w:r>
              <w:rPr>
                <w:rFonts w:ascii="Arial" w:eastAsia="Times New Roman" w:hAnsi="Arial" w:cs="Arial"/>
              </w:rPr>
              <w:t>/lighting</w:t>
            </w:r>
          </w:p>
        </w:tc>
        <w:tc>
          <w:tcPr>
            <w:tcW w:w="0" w:type="auto"/>
          </w:tcPr>
          <w:p w14:paraId="7CED455A" w14:textId="77777777" w:rsidR="00EA5C73" w:rsidRPr="00EA5C73" w:rsidRDefault="00EA5C73" w:rsidP="00EA5C73">
            <w:pPr>
              <w:tabs>
                <w:tab w:val="left" w:pos="360"/>
              </w:tabs>
              <w:spacing w:before="60" w:after="60" w:line="240" w:lineRule="auto"/>
              <w:jc w:val="center"/>
              <w:rPr>
                <w:rFonts w:ascii="Arial" w:eastAsia="Times New Roman" w:hAnsi="Arial" w:cs="Arial"/>
              </w:rPr>
            </w:pPr>
            <w:r w:rsidRPr="00EA5C73">
              <w:rPr>
                <w:rFonts w:ascii="Arial" w:eastAsia="Times New Roman" w:hAnsi="Arial" w:cs="Arial"/>
              </w:rPr>
              <w:t>Yolo County</w:t>
            </w:r>
          </w:p>
        </w:tc>
      </w:tr>
      <w:tr w:rsidR="00EA5C73" w:rsidRPr="00EA5C73" w14:paraId="099B6C36" w14:textId="77777777" w:rsidTr="005C66DE">
        <w:trPr>
          <w:trHeight w:val="288"/>
          <w:jc w:val="center"/>
        </w:trPr>
        <w:tc>
          <w:tcPr>
            <w:tcW w:w="0" w:type="auto"/>
          </w:tcPr>
          <w:p w14:paraId="1E4A6F8D" w14:textId="77777777" w:rsidR="00EA5C73" w:rsidRPr="00EA5C73" w:rsidRDefault="00EA5C73" w:rsidP="00EA5C73">
            <w:pPr>
              <w:tabs>
                <w:tab w:val="left" w:pos="360"/>
              </w:tabs>
              <w:spacing w:before="60" w:after="60" w:line="240" w:lineRule="auto"/>
              <w:rPr>
                <w:rFonts w:ascii="Arial" w:eastAsia="Times New Roman" w:hAnsi="Arial" w:cs="Arial"/>
              </w:rPr>
            </w:pPr>
            <w:r w:rsidRPr="00EA5C73">
              <w:rPr>
                <w:rFonts w:ascii="Arial" w:eastAsia="Times New Roman" w:hAnsi="Arial" w:cs="Arial"/>
              </w:rPr>
              <w:t xml:space="preserve">Drainage (outflow from the EMCSA) </w:t>
            </w:r>
          </w:p>
        </w:tc>
        <w:tc>
          <w:tcPr>
            <w:tcW w:w="0" w:type="auto"/>
          </w:tcPr>
          <w:p w14:paraId="28A629B9" w14:textId="06CFBC49" w:rsidR="00EA5C73" w:rsidRPr="00EA5C73" w:rsidRDefault="00EA5C73" w:rsidP="00EA5C73">
            <w:pPr>
              <w:tabs>
                <w:tab w:val="left" w:pos="360"/>
              </w:tabs>
              <w:spacing w:before="60" w:after="60" w:line="240" w:lineRule="auto"/>
              <w:jc w:val="center"/>
              <w:rPr>
                <w:rFonts w:ascii="Arial" w:eastAsia="Times New Roman" w:hAnsi="Arial" w:cs="Arial"/>
              </w:rPr>
            </w:pPr>
            <w:r w:rsidRPr="00EA5C73">
              <w:rPr>
                <w:rFonts w:ascii="Arial" w:eastAsia="Times New Roman" w:hAnsi="Arial" w:cs="Arial"/>
              </w:rPr>
              <w:t>City of Davis</w:t>
            </w:r>
          </w:p>
        </w:tc>
      </w:tr>
    </w:tbl>
    <w:p w14:paraId="0615919A" w14:textId="2A930A77" w:rsidR="00324B2B" w:rsidRDefault="00324B2B" w:rsidP="00EA5C73">
      <w:pPr>
        <w:spacing w:after="120" w:line="240" w:lineRule="auto"/>
        <w:rPr>
          <w:rFonts w:ascii="Arial" w:hAnsi="Arial" w:cs="Arial"/>
        </w:rPr>
      </w:pPr>
    </w:p>
    <w:bookmarkEnd w:id="12"/>
    <w:p w14:paraId="403BB87E" w14:textId="7605689C" w:rsidR="004D3961" w:rsidRPr="004D3961" w:rsidRDefault="004D3961" w:rsidP="00A96EDB">
      <w:pPr>
        <w:keepNext/>
        <w:spacing w:before="120" w:after="120" w:line="240" w:lineRule="auto"/>
        <w:ind w:left="360" w:hanging="360"/>
        <w:rPr>
          <w:rFonts w:ascii="Arial" w:eastAsia="Times New Roman" w:hAnsi="Arial" w:cs="Arial"/>
          <w:u w:val="single"/>
        </w:rPr>
      </w:pPr>
      <w:r w:rsidRPr="004D3961">
        <w:rPr>
          <w:rFonts w:ascii="Arial" w:eastAsia="Times New Roman" w:hAnsi="Arial" w:cs="Arial"/>
          <w:u w:val="single"/>
        </w:rPr>
        <w:t>Water</w:t>
      </w:r>
    </w:p>
    <w:p w14:paraId="4E218D18" w14:textId="019DFD21" w:rsidR="004D3961" w:rsidRPr="004D3961" w:rsidRDefault="004D3961" w:rsidP="00424B00">
      <w:pPr>
        <w:keepNext/>
        <w:tabs>
          <w:tab w:val="left" w:pos="360"/>
        </w:tabs>
        <w:spacing w:line="240" w:lineRule="auto"/>
        <w:rPr>
          <w:rFonts w:ascii="Arial" w:eastAsia="Times New Roman" w:hAnsi="Arial" w:cs="Arial"/>
        </w:rPr>
      </w:pPr>
      <w:r w:rsidRPr="004D3961">
        <w:rPr>
          <w:rFonts w:ascii="Arial" w:eastAsia="Times New Roman" w:hAnsi="Arial" w:cs="Arial"/>
        </w:rPr>
        <w:t>El Macero CSA provides water to its residents through a contract with the City of Davis for operations and maintenance of the CSA-owned system. The County, on behalf of El Macero CSA (formerly the El Macero Unit No. 1 Maintenance District), initially entered into an agreement with the City for maintenance and operations of the CSA’s water system in November 1966. A new agreement was signed in 1977. According to the agreement the City is responsible for furnishing all power, labor, equipment, materials</w:t>
      </w:r>
      <w:r w:rsidR="00396E92">
        <w:rPr>
          <w:rFonts w:ascii="Arial" w:eastAsia="Times New Roman" w:hAnsi="Arial" w:cs="Arial"/>
        </w:rPr>
        <w:t>,</w:t>
      </w:r>
      <w:r w:rsidRPr="004D3961">
        <w:rPr>
          <w:rFonts w:ascii="Arial" w:eastAsia="Times New Roman" w:hAnsi="Arial" w:cs="Arial"/>
        </w:rPr>
        <w:t xml:space="preserve"> and supplies necessary to operate and maintain the water distribution and supply facilities in the CSA. In return, the CSA pays compensation to the City in the form of water rates that are consistent with </w:t>
      </w:r>
      <w:r w:rsidR="00396E92">
        <w:rPr>
          <w:rFonts w:ascii="Arial" w:eastAsia="Times New Roman" w:hAnsi="Arial" w:cs="Arial"/>
        </w:rPr>
        <w:t xml:space="preserve">those paid by </w:t>
      </w:r>
      <w:r w:rsidRPr="004D3961">
        <w:rPr>
          <w:rFonts w:ascii="Arial" w:eastAsia="Times New Roman" w:hAnsi="Arial" w:cs="Arial"/>
        </w:rPr>
        <w:t>city residents. El Macero CSA retains ownership of the water distribution system. However, the City is responsible for replacement of the existing system should there be wear or a failure. CSA residents have in the past paid for significant infrastructure needs to serve the area (i.e., construction of a new well).</w:t>
      </w:r>
    </w:p>
    <w:p w14:paraId="782EAAF5" w14:textId="7BCDB4EA"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 xml:space="preserve">Since the 2016 MSR, the Woodland-Davis Clean Water Agency completed its regional surface water supply project to bring surface water from the Sacramento River to the area to eliminate reliance on well water. Through the CSA’s interties with the City, the surface water is also provided to El Macero. Since project </w:t>
      </w:r>
      <w:r w:rsidRPr="004D3961">
        <w:rPr>
          <w:rFonts w:ascii="Arial" w:eastAsia="Times New Roman" w:hAnsi="Arial" w:cs="Arial"/>
        </w:rPr>
        <w:lastRenderedPageBreak/>
        <w:t>completion</w:t>
      </w:r>
      <w:r w:rsidR="002A434E">
        <w:rPr>
          <w:rFonts w:ascii="Arial" w:eastAsia="Times New Roman" w:hAnsi="Arial" w:cs="Arial"/>
        </w:rPr>
        <w:t xml:space="preserve"> and </w:t>
      </w:r>
      <w:r w:rsidRPr="004D3961">
        <w:rPr>
          <w:rFonts w:ascii="Arial" w:eastAsia="Times New Roman" w:hAnsi="Arial" w:cs="Arial"/>
        </w:rPr>
        <w:t>the CSA-owned well (EM3) was no longer be</w:t>
      </w:r>
      <w:r w:rsidR="002A434E">
        <w:rPr>
          <w:rFonts w:ascii="Arial" w:eastAsia="Times New Roman" w:hAnsi="Arial" w:cs="Arial"/>
        </w:rPr>
        <w:t>ing</w:t>
      </w:r>
      <w:r w:rsidRPr="004D3961">
        <w:rPr>
          <w:rFonts w:ascii="Arial" w:eastAsia="Times New Roman" w:hAnsi="Arial" w:cs="Arial"/>
        </w:rPr>
        <w:t xml:space="preserve"> used by the City</w:t>
      </w:r>
      <w:r w:rsidR="002A434E">
        <w:rPr>
          <w:rFonts w:ascii="Arial" w:eastAsia="Times New Roman" w:hAnsi="Arial" w:cs="Arial"/>
        </w:rPr>
        <w:t xml:space="preserve">, well use </w:t>
      </w:r>
      <w:r w:rsidRPr="004D3961">
        <w:rPr>
          <w:rFonts w:ascii="Arial" w:eastAsia="Times New Roman" w:hAnsi="Arial" w:cs="Arial"/>
        </w:rPr>
        <w:t xml:space="preserve">was </w:t>
      </w:r>
      <w:r w:rsidR="00396E92">
        <w:rPr>
          <w:rFonts w:ascii="Arial" w:eastAsia="Times New Roman" w:hAnsi="Arial" w:cs="Arial"/>
        </w:rPr>
        <w:t xml:space="preserve">leased </w:t>
      </w:r>
      <w:r w:rsidRPr="004D3961">
        <w:rPr>
          <w:rFonts w:ascii="Arial" w:eastAsia="Times New Roman" w:hAnsi="Arial" w:cs="Arial"/>
        </w:rPr>
        <w:t xml:space="preserve">to the El Macero Country Club for golf course irrigation. </w:t>
      </w:r>
    </w:p>
    <w:p w14:paraId="31615FA8" w14:textId="0E6683C9" w:rsidR="004D3961" w:rsidRPr="004D3961" w:rsidRDefault="004D3961" w:rsidP="00424B00">
      <w:pPr>
        <w:tabs>
          <w:tab w:val="left" w:pos="360"/>
        </w:tabs>
        <w:spacing w:line="240" w:lineRule="auto"/>
        <w:rPr>
          <w:rFonts w:ascii="Arial" w:eastAsia="Times New Roman" w:hAnsi="Arial" w:cs="Arial"/>
          <w:u w:val="single"/>
        </w:rPr>
      </w:pPr>
      <w:r w:rsidRPr="004D3961">
        <w:rPr>
          <w:rFonts w:ascii="Arial" w:eastAsia="Times New Roman" w:hAnsi="Arial" w:cs="Arial"/>
          <w:u w:val="single"/>
        </w:rPr>
        <w:t>Sewer</w:t>
      </w:r>
      <w:r w:rsidR="00A96EDB">
        <w:rPr>
          <w:rFonts w:ascii="Arial" w:eastAsia="Times New Roman" w:hAnsi="Arial" w:cs="Arial"/>
          <w:u w:val="single"/>
        </w:rPr>
        <w:t>/</w:t>
      </w:r>
      <w:r w:rsidRPr="004D3961">
        <w:rPr>
          <w:rFonts w:ascii="Arial" w:eastAsia="Times New Roman" w:hAnsi="Arial" w:cs="Arial"/>
          <w:u w:val="single"/>
        </w:rPr>
        <w:t>Wastewater</w:t>
      </w:r>
    </w:p>
    <w:p w14:paraId="7F9F842C" w14:textId="44CF7469"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El Macero CSA provides wastewater to its residents through a contract with the City of Davis for operations and maintenance of the CSA-owned collection system. The County, on behalf of El Macero CSA (formerly the El Macero Sewer Maintenance District), entered into an agreement with the City for maintenance and operations of the CSA’s wastewater system in November 1966. According to the agreement, the City is responsible for furnishing all power, labor, equipment, materials</w:t>
      </w:r>
      <w:r w:rsidR="00396E92">
        <w:rPr>
          <w:rFonts w:ascii="Arial" w:eastAsia="Times New Roman" w:hAnsi="Arial" w:cs="Arial"/>
        </w:rPr>
        <w:t>,</w:t>
      </w:r>
      <w:r w:rsidRPr="004D3961">
        <w:rPr>
          <w:rFonts w:ascii="Arial" w:eastAsia="Times New Roman" w:hAnsi="Arial" w:cs="Arial"/>
        </w:rPr>
        <w:t xml:space="preserve"> and supplies necessary to operate and maintain the wastewater collection facilities in the CSA. In return, the CSA pays compensation to the City of the aggregate of service charges for all water service connections. The CSA retains ownership of the collection system within its boundaries, while the City is responsible for replacement of the existing system in the event of failure. As part of the agreement with the City, the CSA assisted with the financing of the City’s wastewater treatment plant.</w:t>
      </w:r>
    </w:p>
    <w:p w14:paraId="259E8B84" w14:textId="2705B47E"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 xml:space="preserve">The City provides operation and maintenance of the CSA’s wastewater collection system. Effluent is then transported to the City’s Water Pollution Control Plant for treatment and disposal. The CSA’s collection system was originally constructed in the 1960s during the development of the community. There are no concerns regarding capacity of the wastewater system </w:t>
      </w:r>
      <w:proofErr w:type="gramStart"/>
      <w:r w:rsidRPr="004D3961">
        <w:rPr>
          <w:rFonts w:ascii="Arial" w:eastAsia="Times New Roman" w:hAnsi="Arial" w:cs="Arial"/>
        </w:rPr>
        <w:t>at this time</w:t>
      </w:r>
      <w:proofErr w:type="gramEnd"/>
      <w:r w:rsidRPr="004D3961">
        <w:rPr>
          <w:rFonts w:ascii="Arial" w:eastAsia="Times New Roman" w:hAnsi="Arial" w:cs="Arial"/>
        </w:rPr>
        <w:t>. There are no flow meters to track the amount of effluent flow produced within the CSA</w:t>
      </w:r>
      <w:r w:rsidR="00396E92">
        <w:rPr>
          <w:rFonts w:ascii="Arial" w:eastAsia="Times New Roman" w:hAnsi="Arial" w:cs="Arial"/>
        </w:rPr>
        <w:t>. H</w:t>
      </w:r>
      <w:r w:rsidRPr="004D3961">
        <w:rPr>
          <w:rFonts w:ascii="Arial" w:eastAsia="Times New Roman" w:hAnsi="Arial" w:cs="Arial"/>
        </w:rPr>
        <w:t>owever, given the low number of sewer system overflows, it can be determined that there is sufficient wastewater capacity to serve existing demand in the El Macero CSA.</w:t>
      </w:r>
    </w:p>
    <w:p w14:paraId="4E5B006C" w14:textId="35303296" w:rsidR="004D3961" w:rsidRPr="004D3961" w:rsidRDefault="004D3961" w:rsidP="00424B00">
      <w:pPr>
        <w:tabs>
          <w:tab w:val="left" w:pos="360"/>
        </w:tabs>
        <w:spacing w:line="240" w:lineRule="auto"/>
        <w:rPr>
          <w:rFonts w:ascii="Arial" w:eastAsia="Times New Roman" w:hAnsi="Arial" w:cs="Arial"/>
          <w:u w:val="single"/>
        </w:rPr>
      </w:pPr>
      <w:r w:rsidRPr="004D3961">
        <w:rPr>
          <w:rFonts w:ascii="Arial" w:eastAsia="Times New Roman" w:hAnsi="Arial" w:cs="Arial"/>
          <w:u w:val="single"/>
        </w:rPr>
        <w:t xml:space="preserve">Street </w:t>
      </w:r>
      <w:r w:rsidR="00E138F9">
        <w:rPr>
          <w:rFonts w:ascii="Arial" w:eastAsia="Times New Roman" w:hAnsi="Arial" w:cs="Arial"/>
          <w:u w:val="single"/>
        </w:rPr>
        <w:t>P</w:t>
      </w:r>
      <w:r w:rsidR="00E138F9" w:rsidRPr="00E138F9">
        <w:rPr>
          <w:rFonts w:ascii="Arial" w:eastAsia="Times New Roman" w:hAnsi="Arial" w:cs="Arial"/>
          <w:u w:val="single"/>
        </w:rPr>
        <w:t xml:space="preserve">aving, </w:t>
      </w:r>
      <w:r w:rsidR="00E138F9">
        <w:rPr>
          <w:rFonts w:ascii="Arial" w:eastAsia="Times New Roman" w:hAnsi="Arial" w:cs="Arial"/>
          <w:u w:val="single"/>
        </w:rPr>
        <w:t>M</w:t>
      </w:r>
      <w:r w:rsidR="00E138F9" w:rsidRPr="00E138F9">
        <w:rPr>
          <w:rFonts w:ascii="Arial" w:eastAsia="Times New Roman" w:hAnsi="Arial" w:cs="Arial"/>
          <w:u w:val="single"/>
        </w:rPr>
        <w:t xml:space="preserve">aintenance, </w:t>
      </w:r>
      <w:r w:rsidR="00E138F9">
        <w:rPr>
          <w:rFonts w:ascii="Arial" w:eastAsia="Times New Roman" w:hAnsi="Arial" w:cs="Arial"/>
          <w:u w:val="single"/>
        </w:rPr>
        <w:t>S</w:t>
      </w:r>
      <w:r w:rsidR="00E138F9" w:rsidRPr="00E138F9">
        <w:rPr>
          <w:rFonts w:ascii="Arial" w:eastAsia="Times New Roman" w:hAnsi="Arial" w:cs="Arial"/>
          <w:u w:val="single"/>
        </w:rPr>
        <w:t xml:space="preserve">weeping, and </w:t>
      </w:r>
      <w:r w:rsidR="00E138F9">
        <w:rPr>
          <w:rFonts w:ascii="Arial" w:eastAsia="Times New Roman" w:hAnsi="Arial" w:cs="Arial"/>
          <w:u w:val="single"/>
        </w:rPr>
        <w:t>L</w:t>
      </w:r>
      <w:r w:rsidR="00E138F9" w:rsidRPr="00E138F9">
        <w:rPr>
          <w:rFonts w:ascii="Arial" w:eastAsia="Times New Roman" w:hAnsi="Arial" w:cs="Arial"/>
          <w:u w:val="single"/>
        </w:rPr>
        <w:t>andscaping/</w:t>
      </w:r>
      <w:r w:rsidR="00E138F9">
        <w:rPr>
          <w:rFonts w:ascii="Arial" w:eastAsia="Times New Roman" w:hAnsi="Arial" w:cs="Arial"/>
          <w:u w:val="single"/>
        </w:rPr>
        <w:t>L</w:t>
      </w:r>
      <w:r w:rsidR="00E138F9" w:rsidRPr="00E138F9">
        <w:rPr>
          <w:rFonts w:ascii="Arial" w:eastAsia="Times New Roman" w:hAnsi="Arial" w:cs="Arial"/>
          <w:u w:val="single"/>
        </w:rPr>
        <w:t>ighting</w:t>
      </w:r>
    </w:p>
    <w:p w14:paraId="142C154A" w14:textId="3814701E"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 xml:space="preserve">The CSA finances road maintenance and improvements and other services related to the streets, including street sweeping, </w:t>
      </w:r>
      <w:r w:rsidR="00C87135">
        <w:rPr>
          <w:rFonts w:ascii="Arial" w:eastAsia="Times New Roman" w:hAnsi="Arial" w:cs="Arial"/>
        </w:rPr>
        <w:t>entrance</w:t>
      </w:r>
      <w:r w:rsidR="00C87135" w:rsidRPr="004D3961">
        <w:rPr>
          <w:rFonts w:ascii="Arial" w:eastAsia="Times New Roman" w:hAnsi="Arial" w:cs="Arial"/>
        </w:rPr>
        <w:t xml:space="preserve"> </w:t>
      </w:r>
      <w:r w:rsidRPr="004D3961">
        <w:rPr>
          <w:rFonts w:ascii="Arial" w:eastAsia="Times New Roman" w:hAnsi="Arial" w:cs="Arial"/>
        </w:rPr>
        <w:t xml:space="preserve">lighting, and median landscaping. </w:t>
      </w:r>
      <w:r w:rsidR="00E138F9">
        <w:rPr>
          <w:rFonts w:ascii="Arial" w:eastAsia="Times New Roman" w:hAnsi="Arial" w:cs="Arial"/>
        </w:rPr>
        <w:t>L</w:t>
      </w:r>
      <w:r w:rsidRPr="004D3961">
        <w:rPr>
          <w:rFonts w:ascii="Arial" w:eastAsia="Times New Roman" w:hAnsi="Arial" w:cs="Arial"/>
        </w:rPr>
        <w:t xml:space="preserve">arge improvement projects are put out to bid for completion. Median landscaping services are provided by a private contractor. Street sweeping services are provided by a private contractor. </w:t>
      </w:r>
      <w:r w:rsidR="00C87135">
        <w:rPr>
          <w:rFonts w:ascii="Arial" w:eastAsia="Times New Roman" w:hAnsi="Arial" w:cs="Arial"/>
        </w:rPr>
        <w:t>Entrance</w:t>
      </w:r>
      <w:r w:rsidR="00C87135" w:rsidRPr="004D3961">
        <w:rPr>
          <w:rFonts w:ascii="Arial" w:eastAsia="Times New Roman" w:hAnsi="Arial" w:cs="Arial"/>
        </w:rPr>
        <w:t xml:space="preserve"> </w:t>
      </w:r>
      <w:r w:rsidRPr="004D3961">
        <w:rPr>
          <w:rFonts w:ascii="Arial" w:eastAsia="Times New Roman" w:hAnsi="Arial" w:cs="Arial"/>
        </w:rPr>
        <w:t>light</w:t>
      </w:r>
      <w:r w:rsidR="00C87135">
        <w:rPr>
          <w:rFonts w:ascii="Arial" w:eastAsia="Times New Roman" w:hAnsi="Arial" w:cs="Arial"/>
        </w:rPr>
        <w:t>s</w:t>
      </w:r>
      <w:r w:rsidRPr="004D3961">
        <w:rPr>
          <w:rFonts w:ascii="Arial" w:eastAsia="Times New Roman" w:hAnsi="Arial" w:cs="Arial"/>
        </w:rPr>
        <w:t xml:space="preserve"> </w:t>
      </w:r>
      <w:r w:rsidR="00C87135">
        <w:rPr>
          <w:rFonts w:ascii="Arial" w:eastAsia="Times New Roman" w:hAnsi="Arial" w:cs="Arial"/>
        </w:rPr>
        <w:t>are solar and are maintained by the landscape vendor</w:t>
      </w:r>
      <w:r w:rsidRPr="004D3961">
        <w:rPr>
          <w:rFonts w:ascii="Arial" w:eastAsia="Times New Roman" w:hAnsi="Arial" w:cs="Arial"/>
        </w:rPr>
        <w:t>.</w:t>
      </w:r>
    </w:p>
    <w:p w14:paraId="7A397A7E" w14:textId="25994C01"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The E</w:t>
      </w:r>
      <w:r w:rsidR="00396E92">
        <w:rPr>
          <w:rFonts w:ascii="Arial" w:eastAsia="Times New Roman" w:hAnsi="Arial" w:cs="Arial"/>
        </w:rPr>
        <w:t xml:space="preserve">l </w:t>
      </w:r>
      <w:r w:rsidRPr="004D3961">
        <w:rPr>
          <w:rFonts w:ascii="Arial" w:eastAsia="Times New Roman" w:hAnsi="Arial" w:cs="Arial"/>
        </w:rPr>
        <w:t>M</w:t>
      </w:r>
      <w:r w:rsidR="00396E92">
        <w:rPr>
          <w:rFonts w:ascii="Arial" w:eastAsia="Times New Roman" w:hAnsi="Arial" w:cs="Arial"/>
        </w:rPr>
        <w:t xml:space="preserve">acero </w:t>
      </w:r>
      <w:r w:rsidRPr="004D3961">
        <w:rPr>
          <w:rFonts w:ascii="Arial" w:eastAsia="Times New Roman" w:hAnsi="Arial" w:cs="Arial"/>
        </w:rPr>
        <w:t>CSA has paid for a higher condition level of its streets as compared to other County residential roads. However, a recent Prop 218 election to increase road fees failed</w:t>
      </w:r>
      <w:r w:rsidR="00396E92">
        <w:rPr>
          <w:rFonts w:ascii="Arial" w:eastAsia="Times New Roman" w:hAnsi="Arial" w:cs="Arial"/>
        </w:rPr>
        <w:t>.</w:t>
      </w:r>
      <w:r w:rsidRPr="004D3961">
        <w:rPr>
          <w:rFonts w:ascii="Arial" w:eastAsia="Times New Roman" w:hAnsi="Arial" w:cs="Arial"/>
        </w:rPr>
        <w:t xml:space="preserve"> </w:t>
      </w:r>
      <w:r w:rsidR="00396E92">
        <w:rPr>
          <w:rFonts w:ascii="Arial" w:eastAsia="Times New Roman" w:hAnsi="Arial" w:cs="Arial"/>
        </w:rPr>
        <w:t>T</w:t>
      </w:r>
      <w:r w:rsidRPr="004D3961">
        <w:rPr>
          <w:rFonts w:ascii="Arial" w:eastAsia="Times New Roman" w:hAnsi="Arial" w:cs="Arial"/>
        </w:rPr>
        <w:t>herefore</w:t>
      </w:r>
      <w:r w:rsidR="00396E92">
        <w:rPr>
          <w:rFonts w:ascii="Arial" w:eastAsia="Times New Roman" w:hAnsi="Arial" w:cs="Arial"/>
        </w:rPr>
        <w:t>,</w:t>
      </w:r>
      <w:r w:rsidRPr="004D3961">
        <w:rPr>
          <w:rFonts w:ascii="Arial" w:eastAsia="Times New Roman" w:hAnsi="Arial" w:cs="Arial"/>
        </w:rPr>
        <w:t xml:space="preserve"> the </w:t>
      </w:r>
      <w:r w:rsidR="00396E92">
        <w:rPr>
          <w:rFonts w:ascii="Arial" w:eastAsia="Times New Roman" w:hAnsi="Arial" w:cs="Arial"/>
        </w:rPr>
        <w:t xml:space="preserve">$180 </w:t>
      </w:r>
      <w:r w:rsidRPr="004D3961">
        <w:rPr>
          <w:rFonts w:ascii="Arial" w:eastAsia="Times New Roman" w:hAnsi="Arial" w:cs="Arial"/>
        </w:rPr>
        <w:t>assessment from 1994 will continue to be charged. The revenue collected will continue to fund the street sweeping</w:t>
      </w:r>
      <w:r w:rsidR="00A778DC">
        <w:rPr>
          <w:rFonts w:ascii="Arial" w:eastAsia="Times New Roman" w:hAnsi="Arial" w:cs="Arial"/>
        </w:rPr>
        <w:t xml:space="preserve"> and </w:t>
      </w:r>
      <w:r w:rsidRPr="004D3961">
        <w:rPr>
          <w:rFonts w:ascii="Arial" w:eastAsia="Times New Roman" w:hAnsi="Arial" w:cs="Arial"/>
        </w:rPr>
        <w:t>landscap</w:t>
      </w:r>
      <w:r w:rsidR="00A778DC">
        <w:rPr>
          <w:rFonts w:ascii="Arial" w:eastAsia="Times New Roman" w:hAnsi="Arial" w:cs="Arial"/>
        </w:rPr>
        <w:t xml:space="preserve">ing, </w:t>
      </w:r>
      <w:r w:rsidR="006A4B44">
        <w:rPr>
          <w:rFonts w:ascii="Arial" w:eastAsia="Times New Roman" w:hAnsi="Arial" w:cs="Arial"/>
        </w:rPr>
        <w:t>but</w:t>
      </w:r>
      <w:r w:rsidR="00396E92">
        <w:rPr>
          <w:rFonts w:ascii="Arial" w:eastAsia="Times New Roman" w:hAnsi="Arial" w:cs="Arial"/>
        </w:rPr>
        <w:t xml:space="preserve"> </w:t>
      </w:r>
      <w:r w:rsidR="00A778DC">
        <w:rPr>
          <w:rFonts w:ascii="Arial" w:eastAsia="Times New Roman" w:hAnsi="Arial" w:cs="Arial"/>
        </w:rPr>
        <w:t xml:space="preserve">services are being </w:t>
      </w:r>
      <w:r w:rsidR="002A434E">
        <w:rPr>
          <w:rFonts w:ascii="Arial" w:eastAsia="Times New Roman" w:hAnsi="Arial" w:cs="Arial"/>
        </w:rPr>
        <w:t>reduced</w:t>
      </w:r>
      <w:r w:rsidR="00A778DC">
        <w:rPr>
          <w:rFonts w:ascii="Arial" w:eastAsia="Times New Roman" w:hAnsi="Arial" w:cs="Arial"/>
        </w:rPr>
        <w:t xml:space="preserve"> to stay within available funding.</w:t>
      </w:r>
      <w:r w:rsidRPr="004D3961">
        <w:rPr>
          <w:rFonts w:ascii="Arial" w:eastAsia="Times New Roman" w:hAnsi="Arial" w:cs="Arial"/>
        </w:rPr>
        <w:t xml:space="preserve"> The street fund will no longer be able to accumulate the necessary funds to maintain the </w:t>
      </w:r>
      <w:r w:rsidR="006A4B44">
        <w:rPr>
          <w:rFonts w:ascii="Arial" w:eastAsia="Times New Roman" w:hAnsi="Arial" w:cs="Arial"/>
        </w:rPr>
        <w:t>streets and landscaping</w:t>
      </w:r>
      <w:r w:rsidRPr="004D3961">
        <w:rPr>
          <w:rFonts w:ascii="Arial" w:eastAsia="Times New Roman" w:hAnsi="Arial" w:cs="Arial"/>
        </w:rPr>
        <w:t xml:space="preserve"> at the </w:t>
      </w:r>
      <w:r w:rsidR="00A778DC">
        <w:rPr>
          <w:rFonts w:ascii="Arial" w:eastAsia="Times New Roman" w:hAnsi="Arial" w:cs="Arial"/>
        </w:rPr>
        <w:t>same</w:t>
      </w:r>
      <w:r w:rsidRPr="004D3961">
        <w:rPr>
          <w:rFonts w:ascii="Arial" w:eastAsia="Times New Roman" w:hAnsi="Arial" w:cs="Arial"/>
        </w:rPr>
        <w:t xml:space="preserve"> </w:t>
      </w:r>
      <w:r w:rsidR="00A778DC">
        <w:rPr>
          <w:rFonts w:ascii="Arial" w:eastAsia="Times New Roman" w:hAnsi="Arial" w:cs="Arial"/>
        </w:rPr>
        <w:t xml:space="preserve">higher </w:t>
      </w:r>
      <w:r w:rsidRPr="004D3961">
        <w:rPr>
          <w:rFonts w:ascii="Arial" w:eastAsia="Times New Roman" w:hAnsi="Arial" w:cs="Arial"/>
        </w:rPr>
        <w:t>level</w:t>
      </w:r>
      <w:r w:rsidR="00A778DC">
        <w:rPr>
          <w:rFonts w:ascii="Arial" w:eastAsia="Times New Roman" w:hAnsi="Arial" w:cs="Arial"/>
        </w:rPr>
        <w:t xml:space="preserve"> as before</w:t>
      </w:r>
      <w:r w:rsidRPr="004D3961">
        <w:rPr>
          <w:rFonts w:ascii="Arial" w:eastAsia="Times New Roman" w:hAnsi="Arial" w:cs="Arial"/>
        </w:rPr>
        <w:t>.</w:t>
      </w:r>
      <w:r w:rsidR="00E138F9">
        <w:rPr>
          <w:rFonts w:ascii="Arial" w:eastAsia="Times New Roman" w:hAnsi="Arial" w:cs="Arial"/>
        </w:rPr>
        <w:t xml:space="preserve"> </w:t>
      </w:r>
      <w:r w:rsidR="006A4B44" w:rsidRPr="006A4B44">
        <w:rPr>
          <w:rFonts w:ascii="Arial" w:eastAsia="Times New Roman" w:hAnsi="Arial" w:cs="Arial"/>
        </w:rPr>
        <w:t>Although street paving, maintenance, sweeping and landscape/lighting is not an essential municipal service, the El Macero CSA Advisory Committee needs to calibrate community expectations and recommend how the limited $180 annual street fee funding should be prioritized going forward. Services either need to be reduced to stay within available funding and/or potentially separate out the street fee into more specific components and attempt another Prop 218 increase</w:t>
      </w:r>
      <w:r w:rsidR="006A4B44">
        <w:rPr>
          <w:rFonts w:ascii="Arial" w:eastAsia="Times New Roman" w:hAnsi="Arial" w:cs="Arial"/>
        </w:rPr>
        <w:t xml:space="preserve">. </w:t>
      </w:r>
    </w:p>
    <w:p w14:paraId="0A1D1FF9" w14:textId="77777777" w:rsidR="004D3961" w:rsidRPr="004D3961" w:rsidRDefault="004D3961" w:rsidP="00424B00">
      <w:pPr>
        <w:tabs>
          <w:tab w:val="left" w:pos="360"/>
        </w:tabs>
        <w:spacing w:line="240" w:lineRule="auto"/>
        <w:rPr>
          <w:rFonts w:ascii="Arial" w:eastAsia="Times New Roman" w:hAnsi="Arial" w:cs="Arial"/>
          <w:u w:val="single"/>
        </w:rPr>
      </w:pPr>
      <w:r w:rsidRPr="004D3961">
        <w:rPr>
          <w:rFonts w:ascii="Arial" w:eastAsia="Times New Roman" w:hAnsi="Arial" w:cs="Arial"/>
          <w:u w:val="single"/>
        </w:rPr>
        <w:t>Drainage Outflow</w:t>
      </w:r>
    </w:p>
    <w:p w14:paraId="1A605206" w14:textId="2A6B5A90"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 xml:space="preserve">There is a drainage channel that runs along the boundary of the CSA, into which drainage flows from the surrounding City and County areas, as well as from within the CSA. The City of Davis maintains the El Macero Drainage Channel and pump station by agreement with the County and the Yolo County Flood Control and Water Conservation District (YCFCWCD). Fees for the EMCSA’s contribution </w:t>
      </w:r>
      <w:r w:rsidR="00396E92">
        <w:rPr>
          <w:rFonts w:ascii="Arial" w:eastAsia="Times New Roman" w:hAnsi="Arial" w:cs="Arial"/>
        </w:rPr>
        <w:t>were</w:t>
      </w:r>
      <w:r w:rsidR="00396E92" w:rsidRPr="004D3961">
        <w:rPr>
          <w:rFonts w:ascii="Arial" w:eastAsia="Times New Roman" w:hAnsi="Arial" w:cs="Arial"/>
        </w:rPr>
        <w:t xml:space="preserve"> </w:t>
      </w:r>
      <w:r w:rsidRPr="004D3961">
        <w:rPr>
          <w:rFonts w:ascii="Arial" w:eastAsia="Times New Roman" w:hAnsi="Arial" w:cs="Arial"/>
        </w:rPr>
        <w:t xml:space="preserve">historically paid out of the street fund as an outflow of street drainage. However, as years went by lands changed ownership, and split parcels which caused disruptions in the percentage each jurisdiction was responsible for. Per a 2009 letter, YCFCWCD was not collecting </w:t>
      </w:r>
      <w:r w:rsidR="00BC516F" w:rsidRPr="004D3961">
        <w:rPr>
          <w:rFonts w:ascii="Arial" w:eastAsia="Times New Roman" w:hAnsi="Arial" w:cs="Arial"/>
        </w:rPr>
        <w:t>all</w:t>
      </w:r>
      <w:r w:rsidRPr="004D3961">
        <w:rPr>
          <w:rFonts w:ascii="Arial" w:eastAsia="Times New Roman" w:hAnsi="Arial" w:cs="Arial"/>
        </w:rPr>
        <w:t xml:space="preserve"> the assessments</w:t>
      </w:r>
      <w:r w:rsidR="00C87135">
        <w:rPr>
          <w:rFonts w:ascii="Arial" w:eastAsia="Times New Roman" w:hAnsi="Arial" w:cs="Arial"/>
        </w:rPr>
        <w:t xml:space="preserve"> required</w:t>
      </w:r>
      <w:r w:rsidRPr="004D3961">
        <w:rPr>
          <w:rFonts w:ascii="Arial" w:eastAsia="Times New Roman" w:hAnsi="Arial" w:cs="Arial"/>
        </w:rPr>
        <w:t xml:space="preserve"> to pay its share and opted to terminate the drainage agreement, which ended in 2010. Because the agreement was terminated, the City of Davis stopped billing the EMCSA. </w:t>
      </w:r>
    </w:p>
    <w:p w14:paraId="7C377D5A" w14:textId="2C586A80" w:rsidR="004D3961" w:rsidRPr="004D3961" w:rsidRDefault="004D3961" w:rsidP="00424B00">
      <w:pPr>
        <w:tabs>
          <w:tab w:val="left" w:pos="360"/>
        </w:tabs>
        <w:spacing w:line="240" w:lineRule="auto"/>
        <w:rPr>
          <w:rFonts w:ascii="Arial" w:eastAsia="Times New Roman" w:hAnsi="Arial" w:cs="Arial"/>
        </w:rPr>
      </w:pPr>
      <w:r w:rsidRPr="004D3961">
        <w:rPr>
          <w:rFonts w:ascii="Arial" w:eastAsia="Times New Roman" w:hAnsi="Arial" w:cs="Arial"/>
        </w:rPr>
        <w:t xml:space="preserve">In 2018, the City of Davis approached the County to charge EMCSA drainage fees again, and the County indicated a willingness to pay for the drainage it contributes. The City of Davis began a drainage study to determine the contribution percentage, </w:t>
      </w:r>
      <w:r w:rsidR="00396E92">
        <w:rPr>
          <w:rFonts w:ascii="Arial" w:eastAsia="Times New Roman" w:hAnsi="Arial" w:cs="Arial"/>
        </w:rPr>
        <w:t>but</w:t>
      </w:r>
      <w:r w:rsidRPr="004D3961">
        <w:rPr>
          <w:rFonts w:ascii="Arial" w:eastAsia="Times New Roman" w:hAnsi="Arial" w:cs="Arial"/>
        </w:rPr>
        <w:t xml:space="preserve"> the study was put on hold due to COVID and the drought. </w:t>
      </w:r>
      <w:r w:rsidR="00BC516F">
        <w:rPr>
          <w:rFonts w:ascii="Arial" w:eastAsia="Times New Roman" w:hAnsi="Arial" w:cs="Arial"/>
        </w:rPr>
        <w:t xml:space="preserve">The </w:t>
      </w:r>
      <w:r w:rsidR="00BC516F">
        <w:rPr>
          <w:rFonts w:ascii="Arial" w:eastAsia="Times New Roman" w:hAnsi="Arial" w:cs="Arial"/>
        </w:rPr>
        <w:lastRenderedPageBreak/>
        <w:t>City is c</w:t>
      </w:r>
      <w:r w:rsidRPr="004D3961">
        <w:rPr>
          <w:rFonts w:ascii="Arial" w:eastAsia="Times New Roman" w:hAnsi="Arial" w:cs="Arial"/>
        </w:rPr>
        <w:t>urrently</w:t>
      </w:r>
      <w:r w:rsidR="00BC516F">
        <w:rPr>
          <w:rFonts w:ascii="Arial" w:eastAsia="Times New Roman" w:hAnsi="Arial" w:cs="Arial"/>
        </w:rPr>
        <w:t xml:space="preserve"> restarting the drainage study process, so drainage fees will likely be reinstated. But currently, </w:t>
      </w:r>
      <w:r w:rsidRPr="004D3961">
        <w:rPr>
          <w:rFonts w:ascii="Arial" w:eastAsia="Times New Roman" w:hAnsi="Arial" w:cs="Arial"/>
        </w:rPr>
        <w:t>no drainage fees have been paid by the EMCSA since 2010.</w:t>
      </w:r>
    </w:p>
    <w:p w14:paraId="3F43FD16" w14:textId="77777777" w:rsidR="004D3961" w:rsidRPr="004D3961" w:rsidRDefault="004D3961" w:rsidP="004D3961">
      <w:pPr>
        <w:spacing w:after="120" w:line="240" w:lineRule="auto"/>
        <w:ind w:left="360" w:hanging="360"/>
        <w:rPr>
          <w:rFonts w:ascii="Arial" w:eastAsia="Times New Roman" w:hAnsi="Arial" w:cs="Arial"/>
          <w:b/>
        </w:rPr>
      </w:pPr>
      <w:r w:rsidRPr="004D3961">
        <w:rPr>
          <w:rFonts w:ascii="Arial" w:eastAsia="Times New Roman" w:hAnsi="Arial" w:cs="Arial"/>
          <w:b/>
        </w:rPr>
        <w:t>Capacity and Adequacy of Public Facilities and Services MSR Determination</w:t>
      </w:r>
    </w:p>
    <w:p w14:paraId="2E5118CC" w14:textId="15EF38BB" w:rsidR="004D3961" w:rsidRDefault="004D3961" w:rsidP="004D3961">
      <w:pPr>
        <w:spacing w:after="120" w:line="240" w:lineRule="auto"/>
        <w:rPr>
          <w:rFonts w:ascii="Arial" w:eastAsia="Times New Roman" w:hAnsi="Arial" w:cs="Arial"/>
        </w:rPr>
      </w:pPr>
      <w:r w:rsidRPr="004D3961">
        <w:rPr>
          <w:rFonts w:ascii="Arial" w:eastAsia="Times New Roman" w:hAnsi="Arial" w:cs="Arial"/>
        </w:rPr>
        <w:t xml:space="preserve">There are no significant capacity and adequacy issues identified for the EMCSA. The CSA advisory committee has subcommittees that focus on issues related to each of the services provided. The </w:t>
      </w:r>
      <w:r w:rsidR="006A4B44">
        <w:rPr>
          <w:rFonts w:ascii="Arial" w:eastAsia="Times New Roman" w:hAnsi="Arial" w:cs="Arial"/>
        </w:rPr>
        <w:t xml:space="preserve">City of Davis provides water </w:t>
      </w:r>
      <w:r w:rsidR="005C66DE">
        <w:rPr>
          <w:rFonts w:ascii="Arial" w:eastAsia="Times New Roman" w:hAnsi="Arial" w:cs="Arial"/>
        </w:rPr>
        <w:t>services,</w:t>
      </w:r>
      <w:r w:rsidR="006A4B44">
        <w:rPr>
          <w:rFonts w:ascii="Arial" w:eastAsia="Times New Roman" w:hAnsi="Arial" w:cs="Arial"/>
        </w:rPr>
        <w:t xml:space="preserve"> and the </w:t>
      </w:r>
      <w:r w:rsidRPr="004D3961">
        <w:rPr>
          <w:rFonts w:ascii="Arial" w:eastAsia="Times New Roman" w:hAnsi="Arial" w:cs="Arial"/>
        </w:rPr>
        <w:t xml:space="preserve">Woodland-Davis Clean Water Agency completed its regional surface water supply project </w:t>
      </w:r>
      <w:r w:rsidR="006A4B44">
        <w:rPr>
          <w:rFonts w:ascii="Arial" w:eastAsia="Times New Roman" w:hAnsi="Arial" w:cs="Arial"/>
        </w:rPr>
        <w:t xml:space="preserve">in 2016 </w:t>
      </w:r>
      <w:r w:rsidRPr="004D3961">
        <w:rPr>
          <w:rFonts w:ascii="Arial" w:eastAsia="Times New Roman" w:hAnsi="Arial" w:cs="Arial"/>
        </w:rPr>
        <w:t>to bring surface water from the Sacramento River to the area to eliminate reliance on well water, although with the current extreme drought conditions increased groundwater pumping may have reduced perceived water quality.</w:t>
      </w:r>
      <w:r w:rsidRPr="004D3961">
        <w:t xml:space="preserve"> </w:t>
      </w:r>
      <w:r w:rsidRPr="004D3961">
        <w:rPr>
          <w:rFonts w:ascii="Arial" w:eastAsia="Times New Roman" w:hAnsi="Arial" w:cs="Arial"/>
        </w:rPr>
        <w:t xml:space="preserve">The City provides operation and maintenance of the CSA’s wastewater collection system. Effluent is then transported to the City’s Water Pollution Control Plant for treatment and disposal. There are no concerns regarding capacity of the wastewater system </w:t>
      </w:r>
      <w:proofErr w:type="gramStart"/>
      <w:r w:rsidRPr="004D3961">
        <w:rPr>
          <w:rFonts w:ascii="Arial" w:eastAsia="Times New Roman" w:hAnsi="Arial" w:cs="Arial"/>
        </w:rPr>
        <w:t>at this time</w:t>
      </w:r>
      <w:proofErr w:type="gramEnd"/>
      <w:r w:rsidRPr="004D3961">
        <w:rPr>
          <w:rFonts w:ascii="Arial" w:eastAsia="Times New Roman" w:hAnsi="Arial" w:cs="Arial"/>
        </w:rPr>
        <w:t>.</w:t>
      </w:r>
      <w:r w:rsidRPr="004D3961">
        <w:t xml:space="preserve"> </w:t>
      </w:r>
      <w:r w:rsidRPr="004D3961">
        <w:rPr>
          <w:rFonts w:ascii="Arial" w:eastAsia="Times New Roman" w:hAnsi="Arial" w:cs="Arial"/>
        </w:rPr>
        <w:t>The E</w:t>
      </w:r>
      <w:r w:rsidR="00396E92">
        <w:rPr>
          <w:rFonts w:ascii="Arial" w:eastAsia="Times New Roman" w:hAnsi="Arial" w:cs="Arial"/>
        </w:rPr>
        <w:t xml:space="preserve">l </w:t>
      </w:r>
      <w:r w:rsidRPr="004D3961">
        <w:rPr>
          <w:rFonts w:ascii="Arial" w:eastAsia="Times New Roman" w:hAnsi="Arial" w:cs="Arial"/>
        </w:rPr>
        <w:t>M</w:t>
      </w:r>
      <w:r w:rsidR="00396E92">
        <w:rPr>
          <w:rFonts w:ascii="Arial" w:eastAsia="Times New Roman" w:hAnsi="Arial" w:cs="Arial"/>
        </w:rPr>
        <w:t xml:space="preserve">acero </w:t>
      </w:r>
      <w:r w:rsidRPr="004D3961">
        <w:rPr>
          <w:rFonts w:ascii="Arial" w:eastAsia="Times New Roman" w:hAnsi="Arial" w:cs="Arial"/>
        </w:rPr>
        <w:t>CSA has paid for a higher condition level of its streets as compared to other County residential roads</w:t>
      </w:r>
      <w:r w:rsidR="00396E92">
        <w:rPr>
          <w:rFonts w:ascii="Arial" w:eastAsia="Times New Roman" w:hAnsi="Arial" w:cs="Arial"/>
        </w:rPr>
        <w:t>;</w:t>
      </w:r>
      <w:r w:rsidRPr="004D3961">
        <w:rPr>
          <w:rFonts w:ascii="Arial" w:eastAsia="Times New Roman" w:hAnsi="Arial" w:cs="Arial"/>
        </w:rPr>
        <w:t xml:space="preserve"> however, a recent Prop 218 election to increase road fees failed so higher road </w:t>
      </w:r>
      <w:r w:rsidR="002A434E">
        <w:rPr>
          <w:rFonts w:ascii="Arial" w:eastAsia="Times New Roman" w:hAnsi="Arial" w:cs="Arial"/>
        </w:rPr>
        <w:t xml:space="preserve">maintenance is being </w:t>
      </w:r>
      <w:r w:rsidRPr="004D3961">
        <w:rPr>
          <w:rFonts w:ascii="Arial" w:eastAsia="Times New Roman" w:hAnsi="Arial" w:cs="Arial"/>
        </w:rPr>
        <w:t xml:space="preserve">reduced in line with available funding. Drainage charges for the outfall provided by the City of Davis have been on hold pending a new City drainage study to determine EMCSA’s contribution. </w:t>
      </w:r>
    </w:p>
    <w:p w14:paraId="254650DE" w14:textId="6FA6B875" w:rsidR="00B07668" w:rsidRPr="00B07668" w:rsidRDefault="00B07668" w:rsidP="004D3961">
      <w:pPr>
        <w:spacing w:after="120" w:line="240" w:lineRule="auto"/>
        <w:rPr>
          <w:rFonts w:ascii="Arial" w:eastAsia="Times New Roman" w:hAnsi="Arial" w:cs="Arial"/>
          <w:b/>
          <w:bCs/>
        </w:rPr>
      </w:pPr>
      <w:r w:rsidRPr="00B07668">
        <w:rPr>
          <w:rFonts w:ascii="Arial" w:eastAsia="Times New Roman" w:hAnsi="Arial" w:cs="Arial"/>
          <w:b/>
          <w:bCs/>
        </w:rPr>
        <w:t>Recommendation(s):</w:t>
      </w:r>
    </w:p>
    <w:p w14:paraId="69FF43A2" w14:textId="4A81B492" w:rsidR="00B07668" w:rsidRPr="006A4B44" w:rsidRDefault="006A4B44" w:rsidP="006A4B44">
      <w:pPr>
        <w:pStyle w:val="ListParagraph"/>
        <w:numPr>
          <w:ilvl w:val="0"/>
          <w:numId w:val="32"/>
        </w:numPr>
        <w:spacing w:after="120" w:line="240" w:lineRule="auto"/>
        <w:rPr>
          <w:rFonts w:ascii="Arial" w:eastAsia="Times New Roman" w:hAnsi="Arial" w:cs="Arial"/>
        </w:rPr>
      </w:pPr>
      <w:bookmarkStart w:id="13" w:name="_Hlk117934638"/>
      <w:r w:rsidRPr="006A4B44">
        <w:rPr>
          <w:rFonts w:ascii="Arial" w:eastAsia="Times New Roman" w:hAnsi="Arial" w:cs="Arial"/>
        </w:rPr>
        <w:t xml:space="preserve">Although street paving, maintenance, sweeping and landscape/lighting is not an essential municipal service, the </w:t>
      </w:r>
      <w:r>
        <w:rPr>
          <w:rFonts w:ascii="Arial" w:eastAsia="Times New Roman" w:hAnsi="Arial" w:cs="Arial"/>
        </w:rPr>
        <w:t xml:space="preserve">El Macero </w:t>
      </w:r>
      <w:r w:rsidRPr="006A4B44">
        <w:rPr>
          <w:rFonts w:ascii="Arial" w:eastAsia="Times New Roman" w:hAnsi="Arial" w:cs="Arial"/>
        </w:rPr>
        <w:t xml:space="preserve">CSA Advisory Committee needs to </w:t>
      </w:r>
      <w:r>
        <w:rPr>
          <w:rFonts w:ascii="Arial" w:eastAsia="Times New Roman" w:hAnsi="Arial" w:cs="Arial"/>
        </w:rPr>
        <w:t>calibrate community</w:t>
      </w:r>
      <w:r w:rsidRPr="006A4B44">
        <w:rPr>
          <w:rFonts w:ascii="Arial" w:eastAsia="Times New Roman" w:hAnsi="Arial" w:cs="Arial"/>
        </w:rPr>
        <w:t xml:space="preserve"> expectations and </w:t>
      </w:r>
      <w:r>
        <w:rPr>
          <w:rFonts w:ascii="Arial" w:eastAsia="Times New Roman" w:hAnsi="Arial" w:cs="Arial"/>
        </w:rPr>
        <w:t>recommend</w:t>
      </w:r>
      <w:r w:rsidRPr="006A4B44">
        <w:rPr>
          <w:rFonts w:ascii="Arial" w:eastAsia="Times New Roman" w:hAnsi="Arial" w:cs="Arial"/>
        </w:rPr>
        <w:t xml:space="preserve"> how the limited $180 annual street fee funding should be </w:t>
      </w:r>
      <w:r>
        <w:rPr>
          <w:rFonts w:ascii="Arial" w:eastAsia="Times New Roman" w:hAnsi="Arial" w:cs="Arial"/>
        </w:rPr>
        <w:t>prioritized</w:t>
      </w:r>
      <w:r w:rsidRPr="006A4B44">
        <w:rPr>
          <w:rFonts w:ascii="Arial" w:eastAsia="Times New Roman" w:hAnsi="Arial" w:cs="Arial"/>
        </w:rPr>
        <w:t xml:space="preserve"> going forward. Services either need to be reduced to stay within available funding </w:t>
      </w:r>
      <w:r>
        <w:rPr>
          <w:rFonts w:ascii="Arial" w:eastAsia="Times New Roman" w:hAnsi="Arial" w:cs="Arial"/>
        </w:rPr>
        <w:t>and/</w:t>
      </w:r>
      <w:r w:rsidRPr="006A4B44">
        <w:rPr>
          <w:rFonts w:ascii="Arial" w:eastAsia="Times New Roman" w:hAnsi="Arial" w:cs="Arial"/>
        </w:rPr>
        <w:t>or potentially separate out the street fee into more specific components and attempt another Prop 218 increase.</w:t>
      </w:r>
    </w:p>
    <w:bookmarkEnd w:id="13"/>
    <w:p w14:paraId="6D51F354" w14:textId="77777777" w:rsidR="00AE605B" w:rsidRPr="00AE605B" w:rsidRDefault="00AE605B" w:rsidP="00726DA1">
      <w:pPr>
        <w:spacing w:after="120" w:line="240" w:lineRule="auto"/>
        <w:rPr>
          <w:rFonts w:ascii="Arial" w:eastAsia="Times New Roman" w:hAnsi="Arial" w:cs="Arial"/>
          <w:highlight w:val="lightGray"/>
        </w:rPr>
      </w:pP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7"/>
        <w:gridCol w:w="1152"/>
        <w:gridCol w:w="1152"/>
        <w:gridCol w:w="1153"/>
      </w:tblGrid>
      <w:tr w:rsidR="00AE605B" w:rsidRPr="00AE605B" w14:paraId="68C4535F" w14:textId="77777777" w:rsidTr="00184588">
        <w:trPr>
          <w:cantSplit/>
        </w:trPr>
        <w:tc>
          <w:tcPr>
            <w:tcW w:w="9504" w:type="dxa"/>
            <w:gridSpan w:val="4"/>
            <w:tcBorders>
              <w:top w:val="single" w:sz="12" w:space="0" w:color="auto"/>
            </w:tcBorders>
            <w:shd w:val="clear" w:color="auto" w:fill="D9D9D9"/>
          </w:tcPr>
          <w:p w14:paraId="7BF0C9C9" w14:textId="58434416" w:rsidR="00AE605B" w:rsidRPr="005D4AC7" w:rsidRDefault="00AE605B" w:rsidP="002A434E">
            <w:pPr>
              <w:pStyle w:val="Heading3"/>
              <w:keepNext/>
              <w:outlineLvl w:val="2"/>
              <w:rPr>
                <w:color w:val="auto"/>
              </w:rPr>
            </w:pPr>
            <w:bookmarkStart w:id="14" w:name="_Toc108186090"/>
            <w:r w:rsidRPr="005D4AC7">
              <w:rPr>
                <w:color w:val="auto"/>
              </w:rPr>
              <w:t xml:space="preserve">4. </w:t>
            </w:r>
            <w:r w:rsidR="005D4AC7" w:rsidRPr="005D4AC7">
              <w:rPr>
                <w:color w:val="auto"/>
              </w:rPr>
              <w:t>Financial Ability</w:t>
            </w:r>
            <w:bookmarkEnd w:id="14"/>
          </w:p>
          <w:p w14:paraId="5F7A0FFD" w14:textId="77777777" w:rsidR="00AE605B" w:rsidRPr="00AE605B" w:rsidRDefault="00AE605B" w:rsidP="002A434E">
            <w:pPr>
              <w:keepNext/>
              <w:spacing w:after="120" w:line="240" w:lineRule="auto"/>
              <w:rPr>
                <w:rFonts w:ascii="Arial" w:hAnsi="Arial" w:cs="Arial"/>
                <w:b/>
                <w:i/>
                <w:sz w:val="19"/>
                <w:szCs w:val="19"/>
              </w:rPr>
            </w:pPr>
            <w:r w:rsidRPr="00AE605B">
              <w:rPr>
                <w:rFonts w:ascii="Arial" w:hAnsi="Arial" w:cs="Arial"/>
                <w:sz w:val="19"/>
                <w:szCs w:val="19"/>
              </w:rPr>
              <w:t>Financial ability of agencies to provide services.</w:t>
            </w:r>
          </w:p>
        </w:tc>
      </w:tr>
      <w:tr w:rsidR="008F118C" w:rsidRPr="00AE605B" w14:paraId="724F7B03" w14:textId="77777777" w:rsidTr="00184588">
        <w:trPr>
          <w:cantSplit/>
          <w:trHeight w:val="144"/>
        </w:trPr>
        <w:tc>
          <w:tcPr>
            <w:tcW w:w="6047" w:type="dxa"/>
            <w:tcBorders>
              <w:bottom w:val="single" w:sz="12" w:space="0" w:color="auto"/>
            </w:tcBorders>
            <w:shd w:val="clear" w:color="auto" w:fill="D9D9D9"/>
            <w:vAlign w:val="bottom"/>
          </w:tcPr>
          <w:p w14:paraId="4EBF4405" w14:textId="77777777" w:rsidR="008F118C" w:rsidRPr="00AE605B" w:rsidRDefault="008F118C" w:rsidP="008F118C">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1AA14BDC" w14:textId="4600EAF1" w:rsidR="008F118C" w:rsidRPr="00AE605B" w:rsidRDefault="008F118C" w:rsidP="002A434E">
            <w:pPr>
              <w:keepNext/>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bottom w:val="single" w:sz="12" w:space="0" w:color="auto"/>
            </w:tcBorders>
            <w:shd w:val="clear" w:color="auto" w:fill="D9D9D9"/>
            <w:vAlign w:val="bottom"/>
          </w:tcPr>
          <w:p w14:paraId="38E7FACF" w14:textId="781239A1"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3" w:type="dxa"/>
            <w:tcBorders>
              <w:bottom w:val="single" w:sz="12" w:space="0" w:color="auto"/>
            </w:tcBorders>
            <w:shd w:val="clear" w:color="auto" w:fill="D9D9D9"/>
            <w:vAlign w:val="bottom"/>
          </w:tcPr>
          <w:p w14:paraId="368DA068" w14:textId="3A8E6738"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AE605B" w:rsidRPr="00AE605B" w14:paraId="47478A07" w14:textId="77777777" w:rsidTr="009762DA">
        <w:trPr>
          <w:cantSplit/>
        </w:trPr>
        <w:tc>
          <w:tcPr>
            <w:tcW w:w="6047" w:type="dxa"/>
            <w:tcBorders>
              <w:top w:val="single" w:sz="12" w:space="0" w:color="auto"/>
              <w:bottom w:val="single" w:sz="4" w:space="0" w:color="auto"/>
            </w:tcBorders>
            <w:vAlign w:val="center"/>
          </w:tcPr>
          <w:p w14:paraId="6E2F1BFF" w14:textId="298C6696" w:rsidR="00AE605B" w:rsidRPr="00AE605B" w:rsidRDefault="00AE605B" w:rsidP="009762DA">
            <w:pPr>
              <w:numPr>
                <w:ilvl w:val="0"/>
                <w:numId w:val="12"/>
              </w:numPr>
              <w:spacing w:before="60" w:after="60" w:line="240" w:lineRule="auto"/>
              <w:rPr>
                <w:rFonts w:ascii="Arial" w:hAnsi="Arial" w:cs="Arial"/>
                <w:i/>
                <w:sz w:val="19"/>
                <w:szCs w:val="19"/>
              </w:rPr>
            </w:pPr>
            <w:r w:rsidRPr="00AE605B">
              <w:rPr>
                <w:rFonts w:ascii="Arial" w:hAnsi="Arial" w:cs="Arial"/>
                <w:i/>
                <w:sz w:val="19"/>
                <w:szCs w:val="19"/>
              </w:rPr>
              <w:t>Is the subject agency in a</w:t>
            </w:r>
            <w:r w:rsidR="007B58F3">
              <w:rPr>
                <w:rFonts w:ascii="Arial" w:hAnsi="Arial" w:cs="Arial"/>
                <w:i/>
                <w:sz w:val="19"/>
                <w:szCs w:val="19"/>
              </w:rPr>
              <w:t xml:space="preserve"> </w:t>
            </w:r>
            <w:r w:rsidRPr="00AE605B">
              <w:rPr>
                <w:rFonts w:ascii="Arial" w:hAnsi="Arial" w:cs="Arial"/>
                <w:i/>
                <w:sz w:val="19"/>
                <w:szCs w:val="19"/>
              </w:rPr>
              <w:t xml:space="preserve">stable financial position, </w:t>
            </w:r>
            <w:proofErr w:type="gramStart"/>
            <w:r w:rsidRPr="00AE605B">
              <w:rPr>
                <w:rFonts w:ascii="Arial" w:hAnsi="Arial" w:cs="Arial"/>
                <w:i/>
                <w:sz w:val="19"/>
                <w:szCs w:val="19"/>
              </w:rPr>
              <w:t>i.e.</w:t>
            </w:r>
            <w:proofErr w:type="gramEnd"/>
            <w:r w:rsidRPr="00AE605B">
              <w:rPr>
                <w:rFonts w:ascii="Arial" w:hAnsi="Arial" w:cs="Arial"/>
                <w:i/>
                <w:sz w:val="19"/>
                <w:szCs w:val="19"/>
              </w:rPr>
              <w:t xml:space="preserve"> does the 5-year trend analysis indicate any issues?</w:t>
            </w:r>
          </w:p>
        </w:tc>
        <w:tc>
          <w:tcPr>
            <w:tcW w:w="1152" w:type="dxa"/>
            <w:tcBorders>
              <w:top w:val="single" w:sz="12" w:space="0" w:color="auto"/>
              <w:bottom w:val="single" w:sz="4" w:space="0" w:color="auto"/>
            </w:tcBorders>
            <w:vAlign w:val="center"/>
          </w:tcPr>
          <w:p w14:paraId="2051F3DC" w14:textId="77777777" w:rsidR="00AE605B" w:rsidRPr="00AE605B" w:rsidRDefault="00AE605B" w:rsidP="002A434E">
            <w:pPr>
              <w:keepNext/>
              <w:spacing w:before="60" w:after="60" w:line="240" w:lineRule="auto"/>
              <w:jc w:val="center"/>
              <w:rPr>
                <w:rFonts w:ascii="Arial" w:hAnsi="Arial" w:cs="Arial"/>
                <w:sz w:val="19"/>
                <w:szCs w:val="19"/>
              </w:rPr>
            </w:pPr>
            <w:r w:rsidRPr="00AE605B">
              <w:rPr>
                <w:rFonts w:ascii="Arial" w:hAnsi="Arial" w:cs="Arial"/>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sz w:val="19"/>
                <w:szCs w:val="19"/>
              </w:rPr>
            </w:r>
            <w:r w:rsidR="00240498">
              <w:rPr>
                <w:rFonts w:ascii="Arial" w:hAnsi="Arial" w:cs="Arial"/>
                <w:sz w:val="19"/>
                <w:szCs w:val="19"/>
              </w:rPr>
              <w:fldChar w:fldCharType="separate"/>
            </w:r>
            <w:r w:rsidRPr="00AE605B">
              <w:rPr>
                <w:rFonts w:ascii="Arial" w:hAnsi="Arial" w:cs="Arial"/>
                <w:sz w:val="19"/>
                <w:szCs w:val="19"/>
              </w:rPr>
              <w:fldChar w:fldCharType="end"/>
            </w:r>
          </w:p>
        </w:tc>
        <w:tc>
          <w:tcPr>
            <w:tcW w:w="1152" w:type="dxa"/>
            <w:tcBorders>
              <w:top w:val="single" w:sz="12" w:space="0" w:color="auto"/>
              <w:bottom w:val="single" w:sz="4" w:space="0" w:color="auto"/>
            </w:tcBorders>
            <w:vAlign w:val="center"/>
          </w:tcPr>
          <w:p w14:paraId="0304F9E5" w14:textId="77777777" w:rsidR="00AE605B" w:rsidRPr="00AE605B" w:rsidRDefault="00AE605B" w:rsidP="009762DA">
            <w:pPr>
              <w:spacing w:before="60" w:after="60" w:line="240" w:lineRule="auto"/>
              <w:jc w:val="center"/>
              <w:rPr>
                <w:rFonts w:ascii="Arial" w:hAnsi="Arial" w:cs="Arial"/>
                <w:sz w:val="19"/>
                <w:szCs w:val="19"/>
              </w:rPr>
            </w:pPr>
            <w:r w:rsidRPr="00AE605B">
              <w:rPr>
                <w:rFonts w:ascii="Arial" w:hAnsi="Arial" w:cs="Arial"/>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sz w:val="19"/>
                <w:szCs w:val="19"/>
              </w:rPr>
            </w:r>
            <w:r w:rsidR="00240498">
              <w:rPr>
                <w:rFonts w:ascii="Arial" w:hAnsi="Arial" w:cs="Arial"/>
                <w:sz w:val="19"/>
                <w:szCs w:val="19"/>
              </w:rPr>
              <w:fldChar w:fldCharType="separate"/>
            </w:r>
            <w:r w:rsidRPr="00AE605B">
              <w:rPr>
                <w:rFonts w:ascii="Arial" w:hAnsi="Arial" w:cs="Arial"/>
                <w:sz w:val="19"/>
                <w:szCs w:val="19"/>
              </w:rPr>
              <w:fldChar w:fldCharType="end"/>
            </w:r>
          </w:p>
        </w:tc>
        <w:tc>
          <w:tcPr>
            <w:tcW w:w="1153" w:type="dxa"/>
            <w:tcBorders>
              <w:top w:val="single" w:sz="12" w:space="0" w:color="auto"/>
              <w:bottom w:val="single" w:sz="4" w:space="0" w:color="auto"/>
            </w:tcBorders>
            <w:vAlign w:val="center"/>
          </w:tcPr>
          <w:p w14:paraId="70F377CB" w14:textId="59E5D408" w:rsidR="00AE605B" w:rsidRPr="00AE605B" w:rsidRDefault="0094741F" w:rsidP="009762DA">
            <w:pPr>
              <w:spacing w:before="60" w:after="60" w:line="240" w:lineRule="auto"/>
              <w:jc w:val="center"/>
              <w:rPr>
                <w:rFonts w:ascii="Arial" w:hAnsi="Arial" w:cs="Arial"/>
                <w:sz w:val="19"/>
                <w:szCs w:val="19"/>
              </w:rPr>
            </w:pPr>
            <w:r>
              <w:rPr>
                <w:rFonts w:ascii="Arial" w:hAnsi="Arial" w:cs="Arial"/>
                <w:sz w:val="19"/>
                <w:szCs w:val="19"/>
              </w:rPr>
              <w:fldChar w:fldCharType="begin">
                <w:ffData>
                  <w:name w:val=""/>
                  <w:enabled/>
                  <w:calcOnExit w:val="0"/>
                  <w:checkBox>
                    <w:sizeAuto/>
                    <w:default w:val="1"/>
                  </w:checkBox>
                </w:ffData>
              </w:fldChar>
            </w:r>
            <w:r>
              <w:rPr>
                <w:rFonts w:ascii="Arial" w:hAnsi="Arial" w:cs="Arial"/>
                <w:sz w:val="19"/>
                <w:szCs w:val="19"/>
              </w:rPr>
              <w:instrText xml:space="preserve"> FORMCHECKBOX </w:instrText>
            </w:r>
            <w:r w:rsidR="00240498">
              <w:rPr>
                <w:rFonts w:ascii="Arial" w:hAnsi="Arial" w:cs="Arial"/>
                <w:sz w:val="19"/>
                <w:szCs w:val="19"/>
              </w:rPr>
            </w:r>
            <w:r w:rsidR="00240498">
              <w:rPr>
                <w:rFonts w:ascii="Arial" w:hAnsi="Arial" w:cs="Arial"/>
                <w:sz w:val="19"/>
                <w:szCs w:val="19"/>
              </w:rPr>
              <w:fldChar w:fldCharType="separate"/>
            </w:r>
            <w:r>
              <w:rPr>
                <w:rFonts w:ascii="Arial" w:hAnsi="Arial" w:cs="Arial"/>
                <w:sz w:val="19"/>
                <w:szCs w:val="19"/>
              </w:rPr>
              <w:fldChar w:fldCharType="end"/>
            </w:r>
          </w:p>
        </w:tc>
      </w:tr>
      <w:tr w:rsidR="008C3096" w:rsidRPr="00AE605B" w14:paraId="6E275C5D" w14:textId="77777777" w:rsidTr="009762DA">
        <w:trPr>
          <w:cantSplit/>
        </w:trPr>
        <w:tc>
          <w:tcPr>
            <w:tcW w:w="6047" w:type="dxa"/>
            <w:tcBorders>
              <w:top w:val="single" w:sz="4" w:space="0" w:color="auto"/>
              <w:bottom w:val="single" w:sz="4" w:space="0" w:color="auto"/>
            </w:tcBorders>
            <w:vAlign w:val="center"/>
          </w:tcPr>
          <w:p w14:paraId="1E8712E0" w14:textId="4FC891AB" w:rsidR="008C3096" w:rsidRPr="00AE605B" w:rsidRDefault="007B58F3" w:rsidP="008C3096">
            <w:pPr>
              <w:numPr>
                <w:ilvl w:val="0"/>
                <w:numId w:val="12"/>
              </w:numPr>
              <w:spacing w:before="60" w:after="60" w:line="240" w:lineRule="auto"/>
              <w:rPr>
                <w:rFonts w:ascii="Arial" w:hAnsi="Arial" w:cs="Arial"/>
                <w:i/>
                <w:sz w:val="19"/>
                <w:szCs w:val="19"/>
              </w:rPr>
            </w:pPr>
            <w:r w:rsidRPr="00AE605B">
              <w:rPr>
                <w:rFonts w:ascii="Arial" w:hAnsi="Arial" w:cs="Arial"/>
                <w:i/>
                <w:sz w:val="19"/>
                <w:szCs w:val="19"/>
              </w:rPr>
              <w:t>Is there an issue with the organization’s revenue sources being reliable? For example, is a large percentage of revenue coming from grants or one-time/short-term sources?</w:t>
            </w:r>
          </w:p>
        </w:tc>
        <w:tc>
          <w:tcPr>
            <w:tcW w:w="1152" w:type="dxa"/>
            <w:tcBorders>
              <w:top w:val="single" w:sz="4" w:space="0" w:color="auto"/>
              <w:bottom w:val="single" w:sz="4" w:space="0" w:color="auto"/>
            </w:tcBorders>
            <w:vAlign w:val="center"/>
          </w:tcPr>
          <w:p w14:paraId="3EEBD72B" w14:textId="77777777"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78AA6482" w14:textId="77777777"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3BDED1E7" w14:textId="7257B364" w:rsidR="008C3096" w:rsidRPr="00AE605B" w:rsidRDefault="0094741F" w:rsidP="008C3096">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7B58F3" w:rsidRPr="00AE605B" w14:paraId="76B10505" w14:textId="77777777" w:rsidTr="009762DA">
        <w:trPr>
          <w:cantSplit/>
        </w:trPr>
        <w:tc>
          <w:tcPr>
            <w:tcW w:w="6047" w:type="dxa"/>
            <w:tcBorders>
              <w:top w:val="single" w:sz="4" w:space="0" w:color="auto"/>
              <w:bottom w:val="single" w:sz="4" w:space="0" w:color="auto"/>
            </w:tcBorders>
            <w:vAlign w:val="center"/>
          </w:tcPr>
          <w:p w14:paraId="1F13123F" w14:textId="1ADB84D8" w:rsidR="007B58F3" w:rsidRPr="00AE605B" w:rsidRDefault="007B58F3" w:rsidP="007B58F3">
            <w:pPr>
              <w:numPr>
                <w:ilvl w:val="0"/>
                <w:numId w:val="12"/>
              </w:numPr>
              <w:spacing w:before="60" w:after="60" w:line="240" w:lineRule="auto"/>
              <w:rPr>
                <w:rFonts w:ascii="Arial" w:hAnsi="Arial" w:cs="Arial"/>
                <w:i/>
                <w:sz w:val="19"/>
                <w:szCs w:val="19"/>
              </w:rPr>
            </w:pPr>
            <w:r w:rsidRPr="00AE605B">
              <w:rPr>
                <w:rFonts w:ascii="Arial" w:hAnsi="Arial" w:cs="Arial"/>
                <w:i/>
                <w:sz w:val="19"/>
                <w:szCs w:val="19"/>
              </w:rPr>
              <w:t xml:space="preserve">Is the organization’s </w:t>
            </w:r>
            <w:r>
              <w:rPr>
                <w:rFonts w:ascii="Arial" w:hAnsi="Arial" w:cs="Arial"/>
                <w:i/>
                <w:sz w:val="19"/>
                <w:szCs w:val="19"/>
              </w:rPr>
              <w:t>revenue</w:t>
            </w:r>
            <w:r w:rsidRPr="00AE605B">
              <w:rPr>
                <w:rFonts w:ascii="Arial" w:hAnsi="Arial" w:cs="Arial"/>
                <w:i/>
                <w:sz w:val="19"/>
                <w:szCs w:val="19"/>
              </w:rPr>
              <w:t xml:space="preserve"> sufficient to fund an adequate level of service, necessary infrastructure maintenance, replacement and/or any needed expansion? Is the fee inconsistent with the schedules of similar local agencies</w:t>
            </w:r>
          </w:p>
        </w:tc>
        <w:tc>
          <w:tcPr>
            <w:tcW w:w="1152" w:type="dxa"/>
            <w:tcBorders>
              <w:top w:val="single" w:sz="4" w:space="0" w:color="auto"/>
              <w:bottom w:val="single" w:sz="4" w:space="0" w:color="auto"/>
            </w:tcBorders>
            <w:vAlign w:val="center"/>
          </w:tcPr>
          <w:p w14:paraId="39AFC990" w14:textId="3F1BB26A" w:rsidR="007B58F3" w:rsidRPr="00AE605B" w:rsidRDefault="007B58F3" w:rsidP="007B58F3">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27D46883" w14:textId="2498720A" w:rsidR="007B58F3" w:rsidRPr="00AE605B" w:rsidRDefault="007B58F3" w:rsidP="007B58F3">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1ABA4335" w14:textId="5D2B2E50" w:rsidR="007B58F3" w:rsidRPr="00AE605B" w:rsidRDefault="0094741F" w:rsidP="007B58F3">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8C3096" w:rsidRPr="00AE605B" w14:paraId="20C52825" w14:textId="77777777" w:rsidTr="009762DA">
        <w:trPr>
          <w:cantSplit/>
        </w:trPr>
        <w:tc>
          <w:tcPr>
            <w:tcW w:w="6047" w:type="dxa"/>
            <w:tcBorders>
              <w:top w:val="single" w:sz="4" w:space="0" w:color="auto"/>
              <w:bottom w:val="single" w:sz="4" w:space="0" w:color="auto"/>
            </w:tcBorders>
            <w:vAlign w:val="center"/>
          </w:tcPr>
          <w:p w14:paraId="718D14E9" w14:textId="369102CC" w:rsidR="008C3096" w:rsidRPr="00AE605B" w:rsidRDefault="007B58F3" w:rsidP="008C3096">
            <w:pPr>
              <w:numPr>
                <w:ilvl w:val="0"/>
                <w:numId w:val="12"/>
              </w:numPr>
              <w:spacing w:before="60" w:after="60" w:line="240" w:lineRule="auto"/>
              <w:rPr>
                <w:rFonts w:ascii="Arial" w:hAnsi="Arial" w:cs="Arial"/>
                <w:i/>
                <w:sz w:val="19"/>
                <w:szCs w:val="19"/>
              </w:rPr>
            </w:pPr>
            <w:r w:rsidRPr="00AE605B">
              <w:rPr>
                <w:rFonts w:ascii="Arial" w:hAnsi="Arial" w:cs="Arial"/>
                <w:i/>
                <w:sz w:val="19"/>
                <w:szCs w:val="19"/>
              </w:rPr>
              <w:t>Does the</w:t>
            </w:r>
            <w:r>
              <w:rPr>
                <w:rFonts w:ascii="Arial" w:hAnsi="Arial" w:cs="Arial"/>
                <w:i/>
                <w:sz w:val="19"/>
                <w:szCs w:val="19"/>
              </w:rPr>
              <w:t xml:space="preserve"> subject agency have a capital improvement plan (CIP)?</w:t>
            </w:r>
            <w:r w:rsidRPr="00AE605B">
              <w:rPr>
                <w:rFonts w:ascii="Arial" w:hAnsi="Arial" w:cs="Arial"/>
                <w:i/>
                <w:sz w:val="19"/>
                <w:szCs w:val="19"/>
              </w:rPr>
              <w:t xml:space="preserve"> Has the agency identified and quantified what the possible significant risks and costs of infrastructure or equipment failure? Does the agency have a reserve policy</w:t>
            </w:r>
            <w:r>
              <w:rPr>
                <w:rFonts w:ascii="Arial" w:hAnsi="Arial" w:cs="Arial"/>
                <w:i/>
                <w:sz w:val="19"/>
                <w:szCs w:val="19"/>
              </w:rPr>
              <w:t xml:space="preserve"> to fund it</w:t>
            </w:r>
            <w:r w:rsidRPr="00AE605B">
              <w:rPr>
                <w:rFonts w:ascii="Arial" w:hAnsi="Arial" w:cs="Arial"/>
                <w:i/>
                <w:sz w:val="19"/>
                <w:szCs w:val="19"/>
              </w:rPr>
              <w:t>?</w:t>
            </w:r>
          </w:p>
        </w:tc>
        <w:tc>
          <w:tcPr>
            <w:tcW w:w="1152" w:type="dxa"/>
            <w:tcBorders>
              <w:top w:val="single" w:sz="4" w:space="0" w:color="auto"/>
              <w:bottom w:val="single" w:sz="4" w:space="0" w:color="auto"/>
            </w:tcBorders>
            <w:vAlign w:val="center"/>
          </w:tcPr>
          <w:p w14:paraId="4C6826D4" w14:textId="77777777"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52A67A57" w14:textId="77777777"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57B047F3" w14:textId="520C6A3F" w:rsidR="008C3096" w:rsidRPr="00AE605B" w:rsidRDefault="0094741F" w:rsidP="008C3096">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8C3096" w:rsidRPr="00AE605B" w14:paraId="223A5550" w14:textId="77777777" w:rsidTr="007B22E6">
        <w:trPr>
          <w:cantSplit/>
        </w:trPr>
        <w:tc>
          <w:tcPr>
            <w:tcW w:w="6047" w:type="dxa"/>
            <w:tcBorders>
              <w:top w:val="single" w:sz="4" w:space="0" w:color="auto"/>
              <w:bottom w:val="single" w:sz="4" w:space="0" w:color="auto"/>
            </w:tcBorders>
            <w:vAlign w:val="center"/>
          </w:tcPr>
          <w:p w14:paraId="2B12F4A8" w14:textId="77777777" w:rsidR="008C3096" w:rsidRPr="00AE605B" w:rsidRDefault="008C3096" w:rsidP="008C3096">
            <w:pPr>
              <w:numPr>
                <w:ilvl w:val="0"/>
                <w:numId w:val="12"/>
              </w:numPr>
              <w:spacing w:before="60" w:after="60" w:line="240" w:lineRule="auto"/>
              <w:rPr>
                <w:rFonts w:ascii="Arial" w:hAnsi="Arial" w:cs="Arial"/>
                <w:i/>
                <w:sz w:val="19"/>
                <w:szCs w:val="19"/>
              </w:rPr>
            </w:pPr>
            <w:r w:rsidRPr="00AE605B">
              <w:rPr>
                <w:rFonts w:ascii="Arial" w:hAnsi="Arial" w:cs="Arial"/>
                <w:i/>
                <w:sz w:val="19"/>
                <w:szCs w:val="19"/>
              </w:rPr>
              <w:t>Does the agency have any debt, and if so, is the organization’s debt at an unmanageable level? Does the agency need a clear debt management policy, if applicable?</w:t>
            </w:r>
          </w:p>
        </w:tc>
        <w:tc>
          <w:tcPr>
            <w:tcW w:w="1152" w:type="dxa"/>
            <w:tcBorders>
              <w:top w:val="single" w:sz="4" w:space="0" w:color="auto"/>
              <w:bottom w:val="single" w:sz="4" w:space="0" w:color="auto"/>
            </w:tcBorders>
            <w:vAlign w:val="center"/>
          </w:tcPr>
          <w:p w14:paraId="11409764" w14:textId="77777777"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75FCA04E" w14:textId="77777777"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779ECD63" w14:textId="561CE7BE" w:rsidR="008C3096" w:rsidRPr="00AE605B" w:rsidRDefault="0094741F" w:rsidP="008C3096">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723D59" w:rsidRPr="00AE605B" w14:paraId="6A2958CA" w14:textId="77777777" w:rsidTr="007B22E6">
        <w:trPr>
          <w:cantSplit/>
        </w:trPr>
        <w:tc>
          <w:tcPr>
            <w:tcW w:w="6047" w:type="dxa"/>
            <w:tcBorders>
              <w:top w:val="single" w:sz="4" w:space="0" w:color="auto"/>
              <w:bottom w:val="single" w:sz="4" w:space="0" w:color="auto"/>
            </w:tcBorders>
            <w:vAlign w:val="center"/>
          </w:tcPr>
          <w:p w14:paraId="4A99955B" w14:textId="2B5D28A1" w:rsidR="00723D59" w:rsidRPr="00AE605B" w:rsidRDefault="00723D59" w:rsidP="00723D59">
            <w:pPr>
              <w:numPr>
                <w:ilvl w:val="0"/>
                <w:numId w:val="12"/>
              </w:numPr>
              <w:spacing w:before="60" w:after="60" w:line="240" w:lineRule="auto"/>
              <w:rPr>
                <w:rFonts w:ascii="Arial" w:hAnsi="Arial" w:cs="Arial"/>
                <w:i/>
                <w:sz w:val="19"/>
                <w:szCs w:val="19"/>
              </w:rPr>
            </w:pPr>
            <w:proofErr w:type="gramStart"/>
            <w:r w:rsidRPr="00723D59">
              <w:rPr>
                <w:rFonts w:ascii="Arial" w:hAnsi="Arial" w:cs="Arial"/>
                <w:i/>
                <w:sz w:val="19"/>
                <w:szCs w:val="19"/>
              </w:rPr>
              <w:t>Is</w:t>
            </w:r>
            <w:proofErr w:type="gramEnd"/>
            <w:r w:rsidRPr="00723D59">
              <w:rPr>
                <w:rFonts w:ascii="Arial" w:hAnsi="Arial" w:cs="Arial"/>
                <w:i/>
                <w:sz w:val="19"/>
                <w:szCs w:val="19"/>
              </w:rPr>
              <w:t xml:space="preserve"> the agency insured or in a risk management pool to manage potential liabilities?</w:t>
            </w:r>
          </w:p>
        </w:tc>
        <w:tc>
          <w:tcPr>
            <w:tcW w:w="1152" w:type="dxa"/>
            <w:tcBorders>
              <w:top w:val="single" w:sz="4" w:space="0" w:color="auto"/>
              <w:bottom w:val="single" w:sz="4" w:space="0" w:color="auto"/>
            </w:tcBorders>
            <w:vAlign w:val="center"/>
          </w:tcPr>
          <w:p w14:paraId="0103AE3C" w14:textId="1E37571A" w:rsidR="00723D59" w:rsidRPr="00AE605B" w:rsidRDefault="00723D59" w:rsidP="00723D59">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053FF60A" w14:textId="4C153319" w:rsidR="00723D59" w:rsidRPr="00AE605B" w:rsidRDefault="00723D59" w:rsidP="00723D59">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01CE80A1" w14:textId="645617D4" w:rsidR="00723D59" w:rsidRDefault="00723D59" w:rsidP="00723D59">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8C3096" w:rsidRPr="00AE605B" w14:paraId="7FF78752" w14:textId="77777777" w:rsidTr="007B22E6">
        <w:trPr>
          <w:cantSplit/>
        </w:trPr>
        <w:tc>
          <w:tcPr>
            <w:tcW w:w="6047" w:type="dxa"/>
            <w:tcBorders>
              <w:top w:val="single" w:sz="4" w:space="0" w:color="auto"/>
              <w:bottom w:val="single" w:sz="4" w:space="0" w:color="auto"/>
            </w:tcBorders>
            <w:vAlign w:val="center"/>
          </w:tcPr>
          <w:p w14:paraId="275085C4" w14:textId="6CFD0089" w:rsidR="008C3096" w:rsidRPr="00AE605B" w:rsidRDefault="008C3096" w:rsidP="008C3096">
            <w:pPr>
              <w:numPr>
                <w:ilvl w:val="0"/>
                <w:numId w:val="12"/>
              </w:numPr>
              <w:spacing w:before="60" w:after="60" w:line="240" w:lineRule="auto"/>
              <w:rPr>
                <w:rFonts w:ascii="Arial" w:hAnsi="Arial" w:cs="Arial"/>
                <w:i/>
                <w:sz w:val="19"/>
                <w:szCs w:val="19"/>
              </w:rPr>
            </w:pPr>
            <w:r>
              <w:rPr>
                <w:rFonts w:ascii="Arial" w:hAnsi="Arial" w:cs="Arial"/>
                <w:i/>
                <w:sz w:val="19"/>
                <w:szCs w:val="19"/>
              </w:rPr>
              <w:lastRenderedPageBreak/>
              <w:t>Can</w:t>
            </w:r>
            <w:r w:rsidRPr="00AE605B">
              <w:rPr>
                <w:rFonts w:ascii="Arial" w:hAnsi="Arial" w:cs="Arial"/>
                <w:i/>
                <w:sz w:val="19"/>
                <w:szCs w:val="19"/>
              </w:rPr>
              <w:t xml:space="preserve"> the subject agency </w:t>
            </w:r>
            <w:r>
              <w:rPr>
                <w:rFonts w:ascii="Arial" w:hAnsi="Arial" w:cs="Arial"/>
                <w:i/>
                <w:sz w:val="19"/>
                <w:szCs w:val="19"/>
              </w:rPr>
              <w:t>improve its</w:t>
            </w:r>
            <w:r w:rsidRPr="00AE605B">
              <w:rPr>
                <w:rFonts w:ascii="Arial" w:hAnsi="Arial" w:cs="Arial"/>
                <w:i/>
                <w:sz w:val="19"/>
                <w:szCs w:val="19"/>
              </w:rPr>
              <w:t xml:space="preserve"> use </w:t>
            </w:r>
            <w:r>
              <w:rPr>
                <w:rFonts w:ascii="Arial" w:hAnsi="Arial" w:cs="Arial"/>
                <w:i/>
                <w:sz w:val="19"/>
                <w:szCs w:val="19"/>
              </w:rPr>
              <w:t xml:space="preserve">of </w:t>
            </w:r>
            <w:r w:rsidRPr="00AE605B">
              <w:rPr>
                <w:rFonts w:ascii="Arial" w:hAnsi="Arial" w:cs="Arial"/>
                <w:i/>
                <w:sz w:val="19"/>
                <w:szCs w:val="19"/>
              </w:rPr>
              <w:t>generally accepted accounting principles including: summaries of all fund balances, summaries of revenues and expenditures, general status of reserves, and any un-funded obligations (</w:t>
            </w:r>
            <w:proofErr w:type="gramStart"/>
            <w:r w:rsidRPr="00AE605B">
              <w:rPr>
                <w:rFonts w:ascii="Arial" w:hAnsi="Arial" w:cs="Arial"/>
                <w:i/>
                <w:sz w:val="19"/>
                <w:szCs w:val="19"/>
              </w:rPr>
              <w:t>i.e.</w:t>
            </w:r>
            <w:proofErr w:type="gramEnd"/>
            <w:r w:rsidRPr="00AE605B">
              <w:rPr>
                <w:rFonts w:ascii="Arial" w:hAnsi="Arial" w:cs="Arial"/>
                <w:i/>
                <w:sz w:val="19"/>
                <w:szCs w:val="19"/>
              </w:rPr>
              <w:t xml:space="preserve"> pension/retiree benefits)? Does the agency have accounting and/or financial policies that guide the agency in how financial transactions are recorded and presented?</w:t>
            </w:r>
          </w:p>
        </w:tc>
        <w:tc>
          <w:tcPr>
            <w:tcW w:w="1152" w:type="dxa"/>
            <w:tcBorders>
              <w:top w:val="single" w:sz="4" w:space="0" w:color="auto"/>
              <w:bottom w:val="single" w:sz="4" w:space="0" w:color="auto"/>
            </w:tcBorders>
            <w:vAlign w:val="center"/>
          </w:tcPr>
          <w:p w14:paraId="57286720" w14:textId="3482A1C2"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440915EF" w14:textId="128451CB"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2B9B4D77" w14:textId="458485D1" w:rsidR="008C3096" w:rsidRPr="00AE605B" w:rsidRDefault="0094741F" w:rsidP="008C3096">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8C3096" w:rsidRPr="00AE605B" w14:paraId="01410066" w14:textId="77777777" w:rsidTr="009762DA">
        <w:trPr>
          <w:cantSplit/>
        </w:trPr>
        <w:tc>
          <w:tcPr>
            <w:tcW w:w="6047" w:type="dxa"/>
            <w:tcBorders>
              <w:top w:val="single" w:sz="4" w:space="0" w:color="auto"/>
              <w:bottom w:val="single" w:sz="4" w:space="0" w:color="auto"/>
            </w:tcBorders>
            <w:vAlign w:val="center"/>
          </w:tcPr>
          <w:p w14:paraId="7007DFC1" w14:textId="4C8507D3" w:rsidR="008C3096" w:rsidRPr="00AE605B" w:rsidRDefault="008C3096" w:rsidP="008C3096">
            <w:pPr>
              <w:numPr>
                <w:ilvl w:val="0"/>
                <w:numId w:val="12"/>
              </w:numPr>
              <w:spacing w:before="60" w:after="60" w:line="240" w:lineRule="auto"/>
              <w:rPr>
                <w:rFonts w:ascii="Arial" w:hAnsi="Arial" w:cs="Arial"/>
                <w:i/>
                <w:sz w:val="19"/>
                <w:szCs w:val="19"/>
              </w:rPr>
            </w:pPr>
            <w:r w:rsidRPr="00AE605B">
              <w:rPr>
                <w:rFonts w:ascii="Arial" w:hAnsi="Arial" w:cs="Arial"/>
                <w:i/>
                <w:sz w:val="19"/>
                <w:szCs w:val="19"/>
              </w:rPr>
              <w:t xml:space="preserve">Does the agency board </w:t>
            </w:r>
            <w:r>
              <w:rPr>
                <w:rFonts w:ascii="Arial" w:hAnsi="Arial" w:cs="Arial"/>
                <w:i/>
                <w:sz w:val="19"/>
                <w:szCs w:val="19"/>
              </w:rPr>
              <w:t>need</w:t>
            </w:r>
            <w:r w:rsidRPr="00AE605B">
              <w:rPr>
                <w:rFonts w:ascii="Arial" w:hAnsi="Arial" w:cs="Arial"/>
                <w:i/>
                <w:sz w:val="19"/>
                <w:szCs w:val="19"/>
              </w:rPr>
              <w:t xml:space="preserve"> to receive regular financial reports (quarterly or mid-year at a minimum) that provide a clear and complete picture of the agency’s assets and liabilities, fully disclosing both positive and negative financial information to the public and financial institutions?</w:t>
            </w:r>
          </w:p>
        </w:tc>
        <w:tc>
          <w:tcPr>
            <w:tcW w:w="1152" w:type="dxa"/>
            <w:tcBorders>
              <w:top w:val="single" w:sz="4" w:space="0" w:color="auto"/>
              <w:bottom w:val="single" w:sz="4" w:space="0" w:color="auto"/>
            </w:tcBorders>
            <w:vAlign w:val="center"/>
          </w:tcPr>
          <w:p w14:paraId="791FE5DF" w14:textId="18EEB363"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57C29877" w14:textId="18648E45" w:rsidR="008C3096" w:rsidRPr="00AE605B" w:rsidRDefault="008C3096" w:rsidP="008C3096">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3" w:type="dxa"/>
            <w:tcBorders>
              <w:top w:val="single" w:sz="4" w:space="0" w:color="auto"/>
              <w:bottom w:val="single" w:sz="4" w:space="0" w:color="auto"/>
            </w:tcBorders>
            <w:vAlign w:val="center"/>
          </w:tcPr>
          <w:p w14:paraId="5F600231" w14:textId="7ED2B388" w:rsidR="008C3096" w:rsidRPr="00AE605B" w:rsidRDefault="0094741F" w:rsidP="008C3096">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7D63A4DD" w14:textId="77777777" w:rsidR="002F58ED" w:rsidRPr="002F58ED" w:rsidRDefault="002F58ED" w:rsidP="007A665D">
      <w:pPr>
        <w:keepNext/>
        <w:keepLines/>
        <w:spacing w:after="120" w:line="240" w:lineRule="auto"/>
        <w:rPr>
          <w:rFonts w:ascii="Arial" w:eastAsia="Times New Roman" w:hAnsi="Arial" w:cs="Arial"/>
          <w:b/>
        </w:rPr>
      </w:pPr>
      <w:r w:rsidRPr="002F58ED">
        <w:rPr>
          <w:rFonts w:ascii="Arial" w:eastAsia="Times New Roman" w:hAnsi="Arial" w:cs="Arial"/>
          <w:b/>
        </w:rPr>
        <w:t>Financial Background</w:t>
      </w:r>
    </w:p>
    <w:p w14:paraId="72B8A047" w14:textId="5D808132" w:rsidR="002F58ED" w:rsidRPr="002F58ED" w:rsidRDefault="002F58ED" w:rsidP="007A665D">
      <w:pPr>
        <w:keepNext/>
        <w:keepLines/>
        <w:spacing w:after="120" w:line="240" w:lineRule="auto"/>
        <w:rPr>
          <w:rFonts w:ascii="Arial" w:eastAsia="Times New Roman" w:hAnsi="Arial" w:cs="Arial"/>
        </w:rPr>
      </w:pPr>
      <w:r w:rsidRPr="002F58ED">
        <w:rPr>
          <w:rFonts w:ascii="Arial" w:eastAsia="Times New Roman" w:hAnsi="Arial" w:cs="Arial"/>
        </w:rPr>
        <w:t xml:space="preserve">The El Macero CSA revenue currently consists of property taxes (AB 8), service charges </w:t>
      </w:r>
      <w:r w:rsidR="00396E92">
        <w:rPr>
          <w:rFonts w:ascii="Arial" w:eastAsia="Times New Roman" w:hAnsi="Arial" w:cs="Arial"/>
        </w:rPr>
        <w:t xml:space="preserve">and assessments </w:t>
      </w:r>
      <w:r w:rsidRPr="002F58ED">
        <w:rPr>
          <w:rFonts w:ascii="Arial" w:eastAsia="Times New Roman" w:hAnsi="Arial" w:cs="Arial"/>
        </w:rPr>
        <w:t>that are</w:t>
      </w:r>
      <w:r w:rsidR="007E3381">
        <w:rPr>
          <w:rFonts w:ascii="Arial" w:eastAsia="Times New Roman" w:hAnsi="Arial" w:cs="Arial"/>
        </w:rPr>
        <w:t xml:space="preserve"> </w:t>
      </w:r>
      <w:r w:rsidRPr="002F58ED">
        <w:rPr>
          <w:rFonts w:ascii="Arial" w:eastAsia="Times New Roman" w:hAnsi="Arial" w:cs="Arial"/>
        </w:rPr>
        <w:t xml:space="preserve">enrolled on the property tax bills, interest, and a small amount from intergovernmental subventions. </w:t>
      </w:r>
    </w:p>
    <w:p w14:paraId="2FE9B682" w14:textId="20A52C52" w:rsidR="002F58ED" w:rsidRPr="002F58ED" w:rsidRDefault="002F58ED" w:rsidP="007A665D">
      <w:pPr>
        <w:spacing w:after="120" w:line="240" w:lineRule="auto"/>
        <w:rPr>
          <w:rFonts w:ascii="Arial" w:eastAsia="Times New Roman" w:hAnsi="Arial" w:cs="Arial"/>
        </w:rPr>
      </w:pPr>
      <w:r w:rsidRPr="002F58ED">
        <w:rPr>
          <w:rFonts w:ascii="Arial" w:eastAsia="Times New Roman" w:hAnsi="Arial" w:cs="Arial"/>
        </w:rPr>
        <w:t>Prior to the passage of Proposition 13 in 1979, the CSA services were funded primarily from property taxes. At that</w:t>
      </w:r>
      <w:r w:rsidR="00707085">
        <w:rPr>
          <w:rFonts w:ascii="Arial" w:eastAsia="Times New Roman" w:hAnsi="Arial" w:cs="Arial"/>
        </w:rPr>
        <w:t>,</w:t>
      </w:r>
      <w:r w:rsidRPr="002F58ED">
        <w:rPr>
          <w:rFonts w:ascii="Arial" w:eastAsia="Times New Roman" w:hAnsi="Arial" w:cs="Arial"/>
        </w:rPr>
        <w:t xml:space="preserve"> time local governments, special districts and CSAs were able to set their own property tax rates to fund their operations. However, Proposition 13 limited government agencies’ tax raising abilities by capping the tax rate on real estate to 1% of the </w:t>
      </w:r>
      <w:r w:rsidR="00707085">
        <w:rPr>
          <w:rFonts w:ascii="Arial" w:eastAsia="Times New Roman" w:hAnsi="Arial" w:cs="Arial"/>
        </w:rPr>
        <w:t xml:space="preserve">property’s </w:t>
      </w:r>
      <w:r w:rsidRPr="002F58ED">
        <w:rPr>
          <w:rFonts w:ascii="Arial" w:eastAsia="Times New Roman" w:hAnsi="Arial" w:cs="Arial"/>
        </w:rPr>
        <w:t xml:space="preserve">full cash value. The proposition decreased property taxes by assessing values at their 1976 value and restricted annual increases of assessed value to an inflation factor, not to exceed 2% per year. This limited the amount of property taxes that could be raised by the CSA, thus as the growth of expenditures exceeded the growth of property taxes the CSA had to start charging service fees. The property tax revenue has in affect over the years reduced the amount required from service charges. Service charges now account for over </w:t>
      </w:r>
      <w:r w:rsidR="00856C9A">
        <w:rPr>
          <w:rFonts w:ascii="Arial" w:eastAsia="Times New Roman" w:hAnsi="Arial" w:cs="Arial"/>
        </w:rPr>
        <w:t>96</w:t>
      </w:r>
      <w:r w:rsidRPr="002F58ED">
        <w:rPr>
          <w:rFonts w:ascii="Arial" w:eastAsia="Times New Roman" w:hAnsi="Arial" w:cs="Arial"/>
        </w:rPr>
        <w:t>% of revenue in fiscal year 202</w:t>
      </w:r>
      <w:r w:rsidR="00856C9A">
        <w:rPr>
          <w:rFonts w:ascii="Arial" w:eastAsia="Times New Roman" w:hAnsi="Arial" w:cs="Arial"/>
        </w:rPr>
        <w:t>2</w:t>
      </w:r>
      <w:r w:rsidRPr="002F58ED">
        <w:rPr>
          <w:rFonts w:ascii="Arial" w:eastAsia="Times New Roman" w:hAnsi="Arial" w:cs="Arial"/>
        </w:rPr>
        <w:t xml:space="preserve">. Future service charge increases are subject to the provisions of Proposition 218 which require proper notification to affected citizens and voter approval.  </w:t>
      </w:r>
    </w:p>
    <w:p w14:paraId="36D41EA4" w14:textId="0E128C0D" w:rsidR="002F58ED" w:rsidRPr="002F58ED" w:rsidRDefault="002F58ED" w:rsidP="007A665D">
      <w:pPr>
        <w:spacing w:after="120" w:line="240" w:lineRule="auto"/>
        <w:rPr>
          <w:rFonts w:ascii="Arial" w:eastAsia="Times New Roman" w:hAnsi="Arial" w:cs="Arial"/>
        </w:rPr>
      </w:pPr>
      <w:r w:rsidRPr="002F58ED">
        <w:rPr>
          <w:rFonts w:ascii="Arial" w:eastAsia="Times New Roman" w:hAnsi="Arial" w:cs="Arial"/>
        </w:rPr>
        <w:t xml:space="preserve">Interest income is earned on all funds deposited with the County Treasury which operates like a mutual fund. The County, CSAs, and most special districts and schools are all participants in the County Treasury. Each quarter, the County Treasurer allocates investment earnings (interest income and gains and losses on investments) based on a fund’s average daily balance during the quarter. Prior to 2016 the quarterly allocation of investment earnings included “unrealized” gains/losses and “accrued” interest, which were amounts not actually received by the Treasury. This allocation was based on adjusting cash and investments to fair market value (FMV). </w:t>
      </w:r>
      <w:r w:rsidR="0094741F" w:rsidRPr="002F58ED">
        <w:rPr>
          <w:rFonts w:ascii="Arial" w:eastAsia="Times New Roman" w:hAnsi="Arial" w:cs="Arial"/>
        </w:rPr>
        <w:t>After</w:t>
      </w:r>
      <w:r w:rsidRPr="002F58ED">
        <w:rPr>
          <w:rFonts w:ascii="Arial" w:eastAsia="Times New Roman" w:hAnsi="Arial" w:cs="Arial"/>
        </w:rPr>
        <w:t xml:space="preserve"> 2016, the quarterly investment earnings allocation only includes the actual gains/losses realized and interest received by the County Treasury. The FMV adjustment, which is required by Government Accounting Standards Board Statement No. 31, “</w:t>
      </w:r>
      <w:r w:rsidRPr="002F58ED">
        <w:rPr>
          <w:rFonts w:ascii="Arial" w:eastAsia="Times New Roman" w:hAnsi="Arial" w:cs="Arial"/>
          <w:i/>
        </w:rPr>
        <w:t>Accounting and Financial Reporting for Certain Investments and for External Investment Pools</w:t>
      </w:r>
      <w:r w:rsidRPr="002F58ED">
        <w:rPr>
          <w:rFonts w:ascii="Arial" w:eastAsia="Times New Roman" w:hAnsi="Arial" w:cs="Arial"/>
        </w:rPr>
        <w:t xml:space="preserve">”. This statement requires that cash and investments in the County Treasury, and at the fund level, be adjusted to </w:t>
      </w:r>
      <w:r w:rsidR="00707085">
        <w:rPr>
          <w:rFonts w:ascii="Arial" w:eastAsia="Times New Roman" w:hAnsi="Arial" w:cs="Arial"/>
        </w:rPr>
        <w:t xml:space="preserve">FMV </w:t>
      </w:r>
      <w:r w:rsidRPr="002F58ED">
        <w:rPr>
          <w:rFonts w:ascii="Arial" w:eastAsia="Times New Roman" w:hAnsi="Arial" w:cs="Arial"/>
        </w:rPr>
        <w:t>for financial statement reporting purposes. Since this FMV adjustment includes unrealized gains/losses and accrued interest, the Department of Financial Services has advised pool participants to not include this balance as available funds for budgetary purposes. The FMV of investments is recalculated at the end of each fiscal year. These adjustments are reordered in a separate cash account and investment earnings revenue account for analysis purposes.</w:t>
      </w:r>
      <w:r w:rsidR="0094741F">
        <w:rPr>
          <w:rFonts w:ascii="Arial" w:eastAsia="Times New Roman" w:hAnsi="Arial" w:cs="Arial"/>
        </w:rPr>
        <w:t xml:space="preserve"> </w:t>
      </w:r>
      <w:r w:rsidRPr="002F58ED">
        <w:rPr>
          <w:rFonts w:ascii="Arial" w:eastAsia="Times New Roman" w:hAnsi="Arial" w:cs="Arial"/>
        </w:rPr>
        <w:t xml:space="preserve">Intergovernmental revenues are reimbursements from the State for the homeowners’ property tax exemption. </w:t>
      </w:r>
    </w:p>
    <w:p w14:paraId="02A84CFA" w14:textId="265D09D1" w:rsidR="002F58ED" w:rsidRDefault="002F58ED" w:rsidP="007A665D">
      <w:pPr>
        <w:spacing w:after="120" w:line="240" w:lineRule="auto"/>
        <w:rPr>
          <w:rFonts w:ascii="Arial" w:eastAsia="Times New Roman" w:hAnsi="Arial" w:cs="Arial"/>
        </w:rPr>
      </w:pPr>
      <w:r w:rsidRPr="002F58ED">
        <w:rPr>
          <w:rFonts w:ascii="Arial" w:eastAsia="Times New Roman" w:hAnsi="Arial" w:cs="Arial"/>
        </w:rPr>
        <w:t xml:space="preserve">Prior to </w:t>
      </w:r>
      <w:r w:rsidR="00707085">
        <w:rPr>
          <w:rFonts w:ascii="Arial" w:eastAsia="Times New Roman" w:hAnsi="Arial" w:cs="Arial"/>
        </w:rPr>
        <w:t>2017</w:t>
      </w:r>
      <w:r w:rsidRPr="002F58ED">
        <w:rPr>
          <w:rFonts w:ascii="Arial" w:eastAsia="Times New Roman" w:hAnsi="Arial" w:cs="Arial"/>
        </w:rPr>
        <w:t xml:space="preserve">, El Macero CSA accounting transactions were recorded in a single fund. </w:t>
      </w:r>
      <w:r w:rsidR="00707085">
        <w:rPr>
          <w:rFonts w:ascii="Arial" w:eastAsia="Times New Roman" w:hAnsi="Arial" w:cs="Arial"/>
        </w:rPr>
        <w:t>Since, the County’s Department of Financial Services has created</w:t>
      </w:r>
      <w:r w:rsidRPr="002F58ED">
        <w:rPr>
          <w:rFonts w:ascii="Arial" w:eastAsia="Times New Roman" w:hAnsi="Arial" w:cs="Arial"/>
        </w:rPr>
        <w:t xml:space="preserve"> four funds to segregate revenues and expenditures by activity: Administration, Streets, Water</w:t>
      </w:r>
      <w:r w:rsidR="00707085">
        <w:rPr>
          <w:rFonts w:ascii="Arial" w:eastAsia="Times New Roman" w:hAnsi="Arial" w:cs="Arial"/>
        </w:rPr>
        <w:t>,</w:t>
      </w:r>
      <w:r w:rsidRPr="002F58ED">
        <w:rPr>
          <w:rFonts w:ascii="Arial" w:eastAsia="Times New Roman" w:hAnsi="Arial" w:cs="Arial"/>
        </w:rPr>
        <w:t xml:space="preserve"> and Sewer. This change in accounting provide</w:t>
      </w:r>
      <w:r w:rsidR="00707085">
        <w:rPr>
          <w:rFonts w:ascii="Arial" w:eastAsia="Times New Roman" w:hAnsi="Arial" w:cs="Arial"/>
        </w:rPr>
        <w:t>s</w:t>
      </w:r>
      <w:r w:rsidRPr="002F58ED">
        <w:rPr>
          <w:rFonts w:ascii="Arial" w:eastAsia="Times New Roman" w:hAnsi="Arial" w:cs="Arial"/>
        </w:rPr>
        <w:t xml:space="preserve"> more transparency and to simplif</w:t>
      </w:r>
      <w:r w:rsidR="00707085">
        <w:rPr>
          <w:rFonts w:ascii="Arial" w:eastAsia="Times New Roman" w:hAnsi="Arial" w:cs="Arial"/>
        </w:rPr>
        <w:t>ies</w:t>
      </w:r>
      <w:r w:rsidRPr="002F58ED">
        <w:rPr>
          <w:rFonts w:ascii="Arial" w:eastAsia="Times New Roman" w:hAnsi="Arial" w:cs="Arial"/>
        </w:rPr>
        <w:t xml:space="preserve"> the reporting to the residents of El Macero.</w:t>
      </w:r>
    </w:p>
    <w:p w14:paraId="1EF00EE0" w14:textId="77777777" w:rsidR="00D1368D" w:rsidRPr="00971E8B" w:rsidRDefault="00D1368D" w:rsidP="00D1368D">
      <w:pPr>
        <w:keepNext/>
        <w:spacing w:after="120" w:line="240" w:lineRule="auto"/>
        <w:rPr>
          <w:rFonts w:ascii="Arial" w:eastAsia="Times New Roman" w:hAnsi="Arial" w:cs="Arial"/>
          <w:b/>
          <w:i/>
        </w:rPr>
      </w:pPr>
      <w:bookmarkStart w:id="15" w:name="_Hlk113961462"/>
      <w:r w:rsidRPr="00971E8B">
        <w:rPr>
          <w:rFonts w:ascii="Arial" w:eastAsia="Times New Roman" w:hAnsi="Arial" w:cs="Arial"/>
          <w:b/>
        </w:rPr>
        <w:lastRenderedPageBreak/>
        <w:t>Discussion</w:t>
      </w:r>
      <w:r w:rsidRPr="00971E8B">
        <w:rPr>
          <w:rStyle w:val="FootnoteReference"/>
          <w:rFonts w:ascii="Arial" w:eastAsia="Times New Roman" w:hAnsi="Arial" w:cs="Arial"/>
          <w:b/>
        </w:rPr>
        <w:footnoteReference w:id="2"/>
      </w:r>
      <w:r w:rsidRPr="00971E8B">
        <w:rPr>
          <w:rFonts w:ascii="Arial" w:eastAsia="Times New Roman" w:hAnsi="Arial" w:cs="Arial"/>
          <w:b/>
        </w:rPr>
        <w:t xml:space="preserve">: </w:t>
      </w:r>
    </w:p>
    <w:p w14:paraId="1C7B832A" w14:textId="77777777" w:rsidR="0094741F" w:rsidRDefault="0094741F" w:rsidP="007A665D">
      <w:pPr>
        <w:keepNext/>
        <w:spacing w:after="120" w:line="240" w:lineRule="auto"/>
        <w:rPr>
          <w:rFonts w:ascii="Arial" w:hAnsi="Arial" w:cs="Arial"/>
        </w:rPr>
      </w:pPr>
      <w:r w:rsidRPr="00B47106">
        <w:rPr>
          <w:rFonts w:ascii="Arial" w:hAnsi="Arial" w:cs="Arial"/>
        </w:rPr>
        <w:t xml:space="preserve">The 2022/23 property-related fees, assessments and/or special taxes for the </w:t>
      </w:r>
      <w:r>
        <w:rPr>
          <w:rFonts w:ascii="Arial" w:hAnsi="Arial" w:cs="Arial"/>
        </w:rPr>
        <w:t xml:space="preserve">El Macero </w:t>
      </w:r>
      <w:r w:rsidRPr="00B47106">
        <w:rPr>
          <w:rFonts w:ascii="Arial" w:hAnsi="Arial" w:cs="Arial"/>
        </w:rPr>
        <w:t>CSA</w:t>
      </w:r>
      <w:r w:rsidRPr="00B47106">
        <w:rPr>
          <w:rFonts w:ascii="Arial" w:hAnsi="Arial" w:cs="Arial"/>
          <w:vertAlign w:val="superscript"/>
        </w:rPr>
        <w:footnoteReference w:id="3"/>
      </w:r>
      <w:r w:rsidRPr="00B47106">
        <w:rPr>
          <w:rFonts w:ascii="Arial" w:hAnsi="Arial" w:cs="Arial"/>
        </w:rPr>
        <w:t xml:space="preserve"> is as shown the table below:</w:t>
      </w:r>
      <w:bookmarkStart w:id="16" w:name="_Hlk114057607"/>
    </w:p>
    <w:tbl>
      <w:tblPr>
        <w:tblStyle w:val="TableGrid"/>
        <w:tblW w:w="0" w:type="auto"/>
        <w:jc w:val="center"/>
        <w:tblLook w:val="04A0" w:firstRow="1" w:lastRow="0" w:firstColumn="1" w:lastColumn="0" w:noHBand="0" w:noVBand="1"/>
      </w:tblPr>
      <w:tblGrid>
        <w:gridCol w:w="3595"/>
        <w:gridCol w:w="1440"/>
        <w:gridCol w:w="1649"/>
        <w:gridCol w:w="1591"/>
      </w:tblGrid>
      <w:tr w:rsidR="0094741F" w14:paraId="0EA6FC18" w14:textId="77777777" w:rsidTr="00AA0D78">
        <w:trPr>
          <w:jc w:val="center"/>
        </w:trPr>
        <w:tc>
          <w:tcPr>
            <w:tcW w:w="3595" w:type="dxa"/>
            <w:shd w:val="clear" w:color="auto" w:fill="E1E2DB" w:themeFill="text2" w:themeFillTint="33"/>
          </w:tcPr>
          <w:p w14:paraId="496390A3" w14:textId="77777777" w:rsidR="0094741F" w:rsidRPr="000B0C1B" w:rsidRDefault="0094741F" w:rsidP="007A665D">
            <w:pPr>
              <w:spacing w:after="120" w:line="240" w:lineRule="auto"/>
              <w:jc w:val="center"/>
              <w:rPr>
                <w:rFonts w:ascii="Arial" w:hAnsi="Arial" w:cs="Arial"/>
                <w:b/>
                <w:bCs/>
              </w:rPr>
            </w:pPr>
            <w:r>
              <w:rPr>
                <w:rFonts w:ascii="Arial" w:hAnsi="Arial" w:cs="Arial"/>
                <w:b/>
                <w:bCs/>
              </w:rPr>
              <w:t>El Macero</w:t>
            </w:r>
            <w:r w:rsidRPr="000B0C1B">
              <w:rPr>
                <w:rFonts w:ascii="Arial" w:hAnsi="Arial" w:cs="Arial"/>
                <w:b/>
                <w:bCs/>
              </w:rPr>
              <w:t xml:space="preserve"> CSA</w:t>
            </w:r>
            <w:r>
              <w:rPr>
                <w:rFonts w:ascii="Arial" w:hAnsi="Arial" w:cs="Arial"/>
                <w:b/>
                <w:bCs/>
              </w:rPr>
              <w:t xml:space="preserve"> Services</w:t>
            </w:r>
          </w:p>
        </w:tc>
        <w:tc>
          <w:tcPr>
            <w:tcW w:w="1440" w:type="dxa"/>
            <w:shd w:val="clear" w:color="auto" w:fill="E1E2DB" w:themeFill="text2" w:themeFillTint="33"/>
          </w:tcPr>
          <w:p w14:paraId="0BB0A7C4" w14:textId="77777777" w:rsidR="0094741F" w:rsidRDefault="0094741F" w:rsidP="007A665D">
            <w:pPr>
              <w:spacing w:after="120" w:line="240" w:lineRule="auto"/>
              <w:jc w:val="center"/>
              <w:rPr>
                <w:rFonts w:ascii="Arial" w:hAnsi="Arial" w:cs="Arial"/>
                <w:b/>
                <w:bCs/>
              </w:rPr>
            </w:pPr>
            <w:r>
              <w:rPr>
                <w:rFonts w:ascii="Arial" w:hAnsi="Arial" w:cs="Arial"/>
                <w:b/>
                <w:bCs/>
              </w:rPr>
              <w:t>Service Provider</w:t>
            </w:r>
          </w:p>
        </w:tc>
        <w:tc>
          <w:tcPr>
            <w:tcW w:w="1649" w:type="dxa"/>
            <w:shd w:val="clear" w:color="auto" w:fill="E1E2DB" w:themeFill="text2" w:themeFillTint="33"/>
          </w:tcPr>
          <w:p w14:paraId="1320C8EC" w14:textId="77777777" w:rsidR="0094741F" w:rsidRPr="000B0C1B" w:rsidRDefault="0094741F" w:rsidP="007A665D">
            <w:pPr>
              <w:spacing w:after="120" w:line="240" w:lineRule="auto"/>
              <w:jc w:val="center"/>
              <w:rPr>
                <w:rFonts w:ascii="Arial" w:hAnsi="Arial" w:cs="Arial"/>
                <w:b/>
                <w:bCs/>
              </w:rPr>
            </w:pPr>
            <w:r>
              <w:rPr>
                <w:rFonts w:ascii="Arial" w:hAnsi="Arial" w:cs="Arial"/>
                <w:b/>
                <w:bCs/>
              </w:rPr>
              <w:t xml:space="preserve">Annual </w:t>
            </w:r>
            <w:r w:rsidRPr="000B0C1B">
              <w:rPr>
                <w:rFonts w:ascii="Arial" w:hAnsi="Arial" w:cs="Arial"/>
                <w:b/>
                <w:bCs/>
              </w:rPr>
              <w:t>Charge Per Parcel</w:t>
            </w:r>
          </w:p>
        </w:tc>
        <w:tc>
          <w:tcPr>
            <w:tcW w:w="1591" w:type="dxa"/>
            <w:shd w:val="clear" w:color="auto" w:fill="E1E2DB" w:themeFill="text2" w:themeFillTint="33"/>
          </w:tcPr>
          <w:p w14:paraId="6BC8BA7B" w14:textId="77777777" w:rsidR="0094741F" w:rsidRPr="000B0C1B" w:rsidRDefault="0094741F" w:rsidP="007A665D">
            <w:pPr>
              <w:spacing w:after="120" w:line="240" w:lineRule="auto"/>
              <w:jc w:val="center"/>
              <w:rPr>
                <w:rFonts w:ascii="Arial" w:hAnsi="Arial" w:cs="Arial"/>
                <w:b/>
                <w:bCs/>
              </w:rPr>
            </w:pPr>
            <w:r w:rsidRPr="000B0C1B">
              <w:rPr>
                <w:rFonts w:ascii="Arial" w:hAnsi="Arial" w:cs="Arial"/>
                <w:b/>
                <w:bCs/>
              </w:rPr>
              <w:t>No. of Parcels Charged</w:t>
            </w:r>
          </w:p>
        </w:tc>
      </w:tr>
      <w:tr w:rsidR="0094741F" w14:paraId="2254B98E" w14:textId="77777777" w:rsidTr="00AA0D78">
        <w:trPr>
          <w:trHeight w:val="1790"/>
          <w:jc w:val="center"/>
        </w:trPr>
        <w:tc>
          <w:tcPr>
            <w:tcW w:w="3595" w:type="dxa"/>
          </w:tcPr>
          <w:p w14:paraId="3721DE7D" w14:textId="77777777" w:rsidR="0094741F" w:rsidRDefault="0094741F" w:rsidP="00723D59">
            <w:pPr>
              <w:spacing w:before="40" w:after="40" w:line="240" w:lineRule="auto"/>
              <w:rPr>
                <w:rFonts w:ascii="Arial" w:hAnsi="Arial" w:cs="Arial"/>
              </w:rPr>
            </w:pPr>
            <w:r>
              <w:rPr>
                <w:rFonts w:ascii="Arial" w:hAnsi="Arial" w:cs="Arial"/>
              </w:rPr>
              <w:t>Water:</w:t>
            </w:r>
          </w:p>
          <w:p w14:paraId="29613CF9"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Pr>
                <w:rFonts w:ascii="Arial" w:hAnsi="Arial" w:cs="Arial"/>
              </w:rPr>
              <w:t>S</w:t>
            </w:r>
            <w:r w:rsidRPr="005F5726">
              <w:rPr>
                <w:rFonts w:ascii="Arial" w:hAnsi="Arial" w:cs="Arial"/>
              </w:rPr>
              <w:t xml:space="preserve">ingle </w:t>
            </w:r>
            <w:r>
              <w:rPr>
                <w:rFonts w:ascii="Arial" w:hAnsi="Arial" w:cs="Arial"/>
              </w:rPr>
              <w:t>F</w:t>
            </w:r>
            <w:r w:rsidRPr="005F5726">
              <w:rPr>
                <w:rFonts w:ascii="Arial" w:hAnsi="Arial" w:cs="Arial"/>
              </w:rPr>
              <w:t xml:space="preserve">amily </w:t>
            </w:r>
            <w:r>
              <w:rPr>
                <w:rFonts w:ascii="Arial" w:hAnsi="Arial" w:cs="Arial"/>
              </w:rPr>
              <w:t>(base fee)</w:t>
            </w:r>
          </w:p>
          <w:p w14:paraId="126CF4F3"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Pr>
                <w:rFonts w:ascii="Arial" w:hAnsi="Arial" w:cs="Arial"/>
              </w:rPr>
              <w:t>C</w:t>
            </w:r>
            <w:r w:rsidRPr="005F5726">
              <w:rPr>
                <w:rFonts w:ascii="Arial" w:hAnsi="Arial" w:cs="Arial"/>
              </w:rPr>
              <w:t>ondominium</w:t>
            </w:r>
            <w:r>
              <w:rPr>
                <w:rFonts w:ascii="Arial" w:hAnsi="Arial" w:cs="Arial"/>
              </w:rPr>
              <w:t xml:space="preserve"> (base fee)</w:t>
            </w:r>
          </w:p>
          <w:p w14:paraId="78FDD59B"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Pr>
                <w:rFonts w:ascii="Arial" w:hAnsi="Arial" w:cs="Arial"/>
              </w:rPr>
              <w:t>V</w:t>
            </w:r>
            <w:r w:rsidRPr="005F5726">
              <w:rPr>
                <w:rFonts w:ascii="Arial" w:hAnsi="Arial" w:cs="Arial"/>
              </w:rPr>
              <w:t xml:space="preserve">acant </w:t>
            </w:r>
            <w:r>
              <w:rPr>
                <w:rFonts w:ascii="Arial" w:hAnsi="Arial" w:cs="Arial"/>
              </w:rPr>
              <w:t>(base fee)</w:t>
            </w:r>
          </w:p>
          <w:p w14:paraId="3CF89884"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sidRPr="005F5726">
              <w:rPr>
                <w:rFonts w:ascii="Arial" w:hAnsi="Arial" w:cs="Arial"/>
              </w:rPr>
              <w:t>El Macero Country Club</w:t>
            </w:r>
            <w:r>
              <w:rPr>
                <w:rFonts w:ascii="Arial" w:hAnsi="Arial" w:cs="Arial"/>
              </w:rPr>
              <w:t xml:space="preserve"> (base fee)</w:t>
            </w:r>
          </w:p>
          <w:p w14:paraId="27FFC783"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Pr>
                <w:rFonts w:ascii="Arial" w:hAnsi="Arial" w:cs="Arial"/>
              </w:rPr>
              <w:t>P</w:t>
            </w:r>
            <w:r w:rsidRPr="005F5726">
              <w:rPr>
                <w:rFonts w:ascii="Arial" w:hAnsi="Arial" w:cs="Arial"/>
              </w:rPr>
              <w:t>assthrough</w:t>
            </w:r>
            <w:r>
              <w:rPr>
                <w:rFonts w:ascii="Arial" w:hAnsi="Arial" w:cs="Arial"/>
              </w:rPr>
              <w:t xml:space="preserve"> (actual use)</w:t>
            </w:r>
          </w:p>
        </w:tc>
        <w:tc>
          <w:tcPr>
            <w:tcW w:w="1440" w:type="dxa"/>
          </w:tcPr>
          <w:p w14:paraId="1A95B1FA" w14:textId="77777777" w:rsidR="0094741F" w:rsidRDefault="0094741F" w:rsidP="00723D59">
            <w:pPr>
              <w:tabs>
                <w:tab w:val="left" w:pos="1480"/>
              </w:tabs>
              <w:spacing w:before="40" w:after="40" w:line="240" w:lineRule="auto"/>
              <w:ind w:right="26"/>
              <w:jc w:val="center"/>
              <w:rPr>
                <w:rFonts w:ascii="Arial" w:hAnsi="Arial" w:cs="Arial"/>
              </w:rPr>
            </w:pPr>
            <w:r>
              <w:rPr>
                <w:rFonts w:ascii="Arial" w:hAnsi="Arial" w:cs="Arial"/>
              </w:rPr>
              <w:t>City of Davis</w:t>
            </w:r>
          </w:p>
          <w:p w14:paraId="7BD97EEF" w14:textId="77777777" w:rsidR="0094741F" w:rsidRDefault="0094741F" w:rsidP="00723D59">
            <w:pPr>
              <w:tabs>
                <w:tab w:val="left" w:pos="1480"/>
              </w:tabs>
              <w:spacing w:before="40" w:after="40" w:line="240" w:lineRule="auto"/>
              <w:jc w:val="center"/>
              <w:rPr>
                <w:rFonts w:ascii="Arial" w:hAnsi="Arial" w:cs="Arial"/>
              </w:rPr>
            </w:pPr>
          </w:p>
        </w:tc>
        <w:tc>
          <w:tcPr>
            <w:tcW w:w="1649" w:type="dxa"/>
          </w:tcPr>
          <w:p w14:paraId="61E7A317" w14:textId="77777777" w:rsidR="0094741F" w:rsidRDefault="0094741F" w:rsidP="00723D59">
            <w:pPr>
              <w:tabs>
                <w:tab w:val="left" w:pos="1421"/>
              </w:tabs>
              <w:spacing w:before="40" w:after="40" w:line="240" w:lineRule="auto"/>
              <w:ind w:right="351"/>
              <w:jc w:val="right"/>
              <w:rPr>
                <w:rFonts w:ascii="Arial" w:hAnsi="Arial" w:cs="Arial"/>
              </w:rPr>
            </w:pPr>
          </w:p>
          <w:p w14:paraId="0E688466" w14:textId="77777777" w:rsidR="0094741F" w:rsidRPr="00856C9A" w:rsidRDefault="0094741F" w:rsidP="00723D59">
            <w:pPr>
              <w:tabs>
                <w:tab w:val="left" w:pos="1421"/>
              </w:tabs>
              <w:spacing w:before="40" w:after="40" w:line="240" w:lineRule="auto"/>
              <w:ind w:right="351"/>
              <w:jc w:val="right"/>
              <w:rPr>
                <w:rFonts w:ascii="Arial" w:hAnsi="Arial" w:cs="Arial"/>
              </w:rPr>
            </w:pPr>
            <w:r w:rsidRPr="00856C9A">
              <w:rPr>
                <w:rFonts w:ascii="Arial" w:hAnsi="Arial" w:cs="Arial"/>
              </w:rPr>
              <w:t>$47.02</w:t>
            </w:r>
          </w:p>
          <w:p w14:paraId="5AABE4C4" w14:textId="77777777" w:rsidR="0094741F" w:rsidRPr="00856C9A" w:rsidRDefault="0094741F" w:rsidP="00723D59">
            <w:pPr>
              <w:tabs>
                <w:tab w:val="left" w:pos="1421"/>
              </w:tabs>
              <w:spacing w:before="40" w:after="40" w:line="240" w:lineRule="auto"/>
              <w:ind w:right="351"/>
              <w:jc w:val="right"/>
              <w:rPr>
                <w:rFonts w:ascii="Arial" w:hAnsi="Arial" w:cs="Arial"/>
              </w:rPr>
            </w:pPr>
            <w:r w:rsidRPr="00856C9A">
              <w:rPr>
                <w:rFonts w:ascii="Arial" w:hAnsi="Arial" w:cs="Arial"/>
              </w:rPr>
              <w:t>$47.02</w:t>
            </w:r>
          </w:p>
          <w:p w14:paraId="0F741763" w14:textId="77777777" w:rsidR="0094741F" w:rsidRPr="00856C9A" w:rsidRDefault="0094741F" w:rsidP="00723D59">
            <w:pPr>
              <w:tabs>
                <w:tab w:val="left" w:pos="1421"/>
              </w:tabs>
              <w:spacing w:before="40" w:after="40" w:line="240" w:lineRule="auto"/>
              <w:ind w:right="351"/>
              <w:jc w:val="right"/>
              <w:rPr>
                <w:rFonts w:ascii="Arial" w:hAnsi="Arial" w:cs="Arial"/>
              </w:rPr>
            </w:pPr>
            <w:r w:rsidRPr="00856C9A">
              <w:rPr>
                <w:rFonts w:ascii="Arial" w:hAnsi="Arial" w:cs="Arial"/>
              </w:rPr>
              <w:t>$47.02</w:t>
            </w:r>
          </w:p>
          <w:p w14:paraId="73B1DED1" w14:textId="77777777" w:rsidR="0094741F" w:rsidRPr="00856C9A" w:rsidRDefault="0094741F" w:rsidP="00723D59">
            <w:pPr>
              <w:tabs>
                <w:tab w:val="left" w:pos="1421"/>
              </w:tabs>
              <w:spacing w:before="40" w:after="40" w:line="240" w:lineRule="auto"/>
              <w:ind w:right="351"/>
              <w:jc w:val="right"/>
              <w:rPr>
                <w:rFonts w:ascii="Arial" w:hAnsi="Arial" w:cs="Arial"/>
              </w:rPr>
            </w:pPr>
            <w:r w:rsidRPr="00856C9A">
              <w:rPr>
                <w:rFonts w:ascii="Arial" w:hAnsi="Arial" w:cs="Arial"/>
              </w:rPr>
              <w:t>$47.02</w:t>
            </w:r>
          </w:p>
          <w:p w14:paraId="09BDFE6D" w14:textId="77777777" w:rsidR="0094741F" w:rsidRPr="00856C9A" w:rsidRDefault="0094741F" w:rsidP="00723D59">
            <w:pPr>
              <w:tabs>
                <w:tab w:val="left" w:pos="1421"/>
              </w:tabs>
              <w:spacing w:before="40" w:after="40" w:line="240" w:lineRule="auto"/>
              <w:ind w:right="351"/>
              <w:jc w:val="right"/>
              <w:rPr>
                <w:rFonts w:ascii="Arial" w:hAnsi="Arial" w:cs="Arial"/>
              </w:rPr>
            </w:pPr>
          </w:p>
          <w:p w14:paraId="58D650DF" w14:textId="77777777" w:rsidR="0094741F" w:rsidRDefault="0094741F" w:rsidP="00723D59">
            <w:pPr>
              <w:tabs>
                <w:tab w:val="left" w:pos="1421"/>
              </w:tabs>
              <w:spacing w:before="40" w:after="40" w:line="240" w:lineRule="auto"/>
              <w:ind w:right="351"/>
              <w:jc w:val="right"/>
              <w:rPr>
                <w:rFonts w:ascii="Arial" w:hAnsi="Arial" w:cs="Arial"/>
              </w:rPr>
            </w:pPr>
            <w:r w:rsidRPr="00856C9A">
              <w:rPr>
                <w:rFonts w:ascii="Arial" w:hAnsi="Arial" w:cs="Arial"/>
              </w:rPr>
              <w:t>Varies</w:t>
            </w:r>
          </w:p>
        </w:tc>
        <w:tc>
          <w:tcPr>
            <w:tcW w:w="1591" w:type="dxa"/>
          </w:tcPr>
          <w:p w14:paraId="30E95A79" w14:textId="77777777" w:rsidR="0094741F" w:rsidRDefault="0094741F" w:rsidP="00723D59">
            <w:pPr>
              <w:spacing w:before="40" w:after="40" w:line="240" w:lineRule="auto"/>
              <w:jc w:val="center"/>
              <w:rPr>
                <w:rFonts w:ascii="Arial" w:hAnsi="Arial" w:cs="Arial"/>
              </w:rPr>
            </w:pPr>
          </w:p>
          <w:p w14:paraId="0340972C" w14:textId="77777777" w:rsidR="0094741F" w:rsidRDefault="0094741F" w:rsidP="00723D59">
            <w:pPr>
              <w:spacing w:before="40" w:after="40" w:line="240" w:lineRule="auto"/>
              <w:jc w:val="center"/>
              <w:rPr>
                <w:rFonts w:ascii="Arial" w:hAnsi="Arial" w:cs="Arial"/>
              </w:rPr>
            </w:pPr>
            <w:r>
              <w:rPr>
                <w:rFonts w:ascii="Arial" w:hAnsi="Arial" w:cs="Arial"/>
              </w:rPr>
              <w:t>403</w:t>
            </w:r>
          </w:p>
          <w:p w14:paraId="5FF423D6" w14:textId="77777777" w:rsidR="0094741F" w:rsidRDefault="0094741F" w:rsidP="00723D59">
            <w:pPr>
              <w:spacing w:before="40" w:after="40" w:line="240" w:lineRule="auto"/>
              <w:jc w:val="center"/>
              <w:rPr>
                <w:rFonts w:ascii="Arial" w:hAnsi="Arial" w:cs="Arial"/>
              </w:rPr>
            </w:pPr>
            <w:r>
              <w:rPr>
                <w:rFonts w:ascii="Arial" w:hAnsi="Arial" w:cs="Arial"/>
              </w:rPr>
              <w:t>37</w:t>
            </w:r>
          </w:p>
          <w:p w14:paraId="340FB312" w14:textId="77777777" w:rsidR="0094741F" w:rsidRDefault="0094741F" w:rsidP="00723D59">
            <w:pPr>
              <w:spacing w:before="40" w:after="40" w:line="240" w:lineRule="auto"/>
              <w:jc w:val="center"/>
              <w:rPr>
                <w:rFonts w:ascii="Arial" w:hAnsi="Arial" w:cs="Arial"/>
              </w:rPr>
            </w:pPr>
            <w:r>
              <w:rPr>
                <w:rFonts w:ascii="Arial" w:hAnsi="Arial" w:cs="Arial"/>
              </w:rPr>
              <w:t>7</w:t>
            </w:r>
          </w:p>
          <w:p w14:paraId="59557A5A" w14:textId="77777777" w:rsidR="0094741F" w:rsidRDefault="0094741F" w:rsidP="00723D59">
            <w:pPr>
              <w:spacing w:before="40" w:after="40" w:line="240" w:lineRule="auto"/>
              <w:jc w:val="center"/>
              <w:rPr>
                <w:rFonts w:ascii="Arial" w:hAnsi="Arial" w:cs="Arial"/>
              </w:rPr>
            </w:pPr>
            <w:r>
              <w:rPr>
                <w:rFonts w:ascii="Arial" w:hAnsi="Arial" w:cs="Arial"/>
              </w:rPr>
              <w:t>1</w:t>
            </w:r>
          </w:p>
          <w:p w14:paraId="29BB3930" w14:textId="77777777" w:rsidR="00707085" w:rsidRDefault="00707085" w:rsidP="00723D59">
            <w:pPr>
              <w:spacing w:before="40" w:after="40" w:line="240" w:lineRule="auto"/>
              <w:jc w:val="center"/>
              <w:rPr>
                <w:rFonts w:ascii="Arial" w:hAnsi="Arial" w:cs="Arial"/>
              </w:rPr>
            </w:pPr>
          </w:p>
          <w:p w14:paraId="3F43AD1B" w14:textId="40201465" w:rsidR="0094741F" w:rsidRDefault="0094741F" w:rsidP="00723D59">
            <w:pPr>
              <w:spacing w:before="40" w:after="40" w:line="240" w:lineRule="auto"/>
              <w:jc w:val="center"/>
              <w:rPr>
                <w:rFonts w:ascii="Arial" w:hAnsi="Arial" w:cs="Arial"/>
              </w:rPr>
            </w:pPr>
            <w:r>
              <w:rPr>
                <w:rFonts w:ascii="Arial" w:hAnsi="Arial" w:cs="Arial"/>
              </w:rPr>
              <w:t>Varies</w:t>
            </w:r>
          </w:p>
        </w:tc>
      </w:tr>
      <w:tr w:rsidR="0094741F" w14:paraId="54CCB901" w14:textId="77777777" w:rsidTr="00AA0D78">
        <w:trPr>
          <w:trHeight w:val="890"/>
          <w:jc w:val="center"/>
        </w:trPr>
        <w:tc>
          <w:tcPr>
            <w:tcW w:w="3595" w:type="dxa"/>
          </w:tcPr>
          <w:p w14:paraId="275F40C6" w14:textId="77777777" w:rsidR="0094741F" w:rsidRDefault="0094741F" w:rsidP="00723D59">
            <w:pPr>
              <w:spacing w:before="40" w:after="40" w:line="240" w:lineRule="auto"/>
              <w:rPr>
                <w:rFonts w:ascii="Arial" w:hAnsi="Arial" w:cs="Arial"/>
              </w:rPr>
            </w:pPr>
            <w:r>
              <w:rPr>
                <w:rFonts w:ascii="Arial" w:hAnsi="Arial" w:cs="Arial"/>
              </w:rPr>
              <w:t>Sewer/Wastewater:</w:t>
            </w:r>
          </w:p>
          <w:p w14:paraId="0C44AAA6"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Pr>
                <w:rFonts w:ascii="Arial" w:hAnsi="Arial" w:cs="Arial"/>
              </w:rPr>
              <w:t>S</w:t>
            </w:r>
            <w:r w:rsidRPr="005F5726">
              <w:rPr>
                <w:rFonts w:ascii="Arial" w:hAnsi="Arial" w:cs="Arial"/>
              </w:rPr>
              <w:t xml:space="preserve">ingle </w:t>
            </w:r>
            <w:r>
              <w:rPr>
                <w:rFonts w:ascii="Arial" w:hAnsi="Arial" w:cs="Arial"/>
              </w:rPr>
              <w:t>F</w:t>
            </w:r>
            <w:r w:rsidRPr="005F5726">
              <w:rPr>
                <w:rFonts w:ascii="Arial" w:hAnsi="Arial" w:cs="Arial"/>
              </w:rPr>
              <w:t xml:space="preserve">amily </w:t>
            </w:r>
          </w:p>
          <w:p w14:paraId="4153570E"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Pr>
                <w:rFonts w:ascii="Arial" w:hAnsi="Arial" w:cs="Arial"/>
              </w:rPr>
              <w:t>C</w:t>
            </w:r>
            <w:r w:rsidRPr="005F5726">
              <w:rPr>
                <w:rFonts w:ascii="Arial" w:hAnsi="Arial" w:cs="Arial"/>
              </w:rPr>
              <w:t>ondominium</w:t>
            </w:r>
          </w:p>
          <w:p w14:paraId="353F8921" w14:textId="77777777" w:rsidR="0094741F" w:rsidRPr="005F5726" w:rsidRDefault="0094741F" w:rsidP="00723D59">
            <w:pPr>
              <w:pStyle w:val="ListParagraph"/>
              <w:numPr>
                <w:ilvl w:val="0"/>
                <w:numId w:val="25"/>
              </w:numPr>
              <w:spacing w:before="40" w:after="40" w:line="240" w:lineRule="auto"/>
              <w:contextualSpacing w:val="0"/>
              <w:rPr>
                <w:rFonts w:ascii="Arial" w:hAnsi="Arial" w:cs="Arial"/>
              </w:rPr>
            </w:pPr>
            <w:r w:rsidRPr="005F5726">
              <w:rPr>
                <w:rFonts w:ascii="Arial" w:hAnsi="Arial" w:cs="Arial"/>
              </w:rPr>
              <w:t>El Macero Country Club</w:t>
            </w:r>
          </w:p>
        </w:tc>
        <w:tc>
          <w:tcPr>
            <w:tcW w:w="1440" w:type="dxa"/>
          </w:tcPr>
          <w:p w14:paraId="617C970B" w14:textId="77777777" w:rsidR="0094741F" w:rsidRDefault="0094741F" w:rsidP="00723D59">
            <w:pPr>
              <w:tabs>
                <w:tab w:val="left" w:pos="1480"/>
              </w:tabs>
              <w:spacing w:before="40" w:after="40" w:line="240" w:lineRule="auto"/>
              <w:jc w:val="center"/>
              <w:rPr>
                <w:rFonts w:ascii="Arial" w:hAnsi="Arial" w:cs="Arial"/>
              </w:rPr>
            </w:pPr>
            <w:r>
              <w:rPr>
                <w:rFonts w:ascii="Arial" w:hAnsi="Arial" w:cs="Arial"/>
              </w:rPr>
              <w:t>City of Davis</w:t>
            </w:r>
          </w:p>
          <w:p w14:paraId="03BB7BF5" w14:textId="77777777" w:rsidR="0094741F" w:rsidRDefault="0094741F" w:rsidP="00723D59">
            <w:pPr>
              <w:tabs>
                <w:tab w:val="left" w:pos="1480"/>
              </w:tabs>
              <w:spacing w:before="40" w:after="40" w:line="240" w:lineRule="auto"/>
              <w:jc w:val="center"/>
              <w:rPr>
                <w:rFonts w:ascii="Arial" w:hAnsi="Arial" w:cs="Arial"/>
              </w:rPr>
            </w:pPr>
          </w:p>
        </w:tc>
        <w:tc>
          <w:tcPr>
            <w:tcW w:w="1649" w:type="dxa"/>
          </w:tcPr>
          <w:p w14:paraId="4A8F1C40" w14:textId="77777777" w:rsidR="0094741F" w:rsidRDefault="0094741F" w:rsidP="00723D59">
            <w:pPr>
              <w:tabs>
                <w:tab w:val="left" w:pos="1421"/>
              </w:tabs>
              <w:spacing w:before="40" w:after="40" w:line="240" w:lineRule="auto"/>
              <w:ind w:right="351"/>
              <w:jc w:val="right"/>
              <w:rPr>
                <w:rFonts w:ascii="Arial" w:hAnsi="Arial" w:cs="Arial"/>
              </w:rPr>
            </w:pPr>
          </w:p>
          <w:p w14:paraId="6F3BB091" w14:textId="77777777" w:rsidR="0094741F" w:rsidRDefault="0094741F" w:rsidP="00723D59">
            <w:pPr>
              <w:tabs>
                <w:tab w:val="left" w:pos="1421"/>
              </w:tabs>
              <w:spacing w:before="40" w:after="40" w:line="240" w:lineRule="auto"/>
              <w:ind w:right="351"/>
              <w:jc w:val="right"/>
              <w:rPr>
                <w:rFonts w:ascii="Arial" w:hAnsi="Arial" w:cs="Arial"/>
              </w:rPr>
            </w:pPr>
            <w:r>
              <w:rPr>
                <w:rFonts w:ascii="Arial" w:hAnsi="Arial" w:cs="Arial"/>
              </w:rPr>
              <w:t>$568.06</w:t>
            </w:r>
          </w:p>
          <w:p w14:paraId="5FF1AB67" w14:textId="77777777" w:rsidR="0094741F" w:rsidRDefault="0094741F" w:rsidP="00723D59">
            <w:pPr>
              <w:tabs>
                <w:tab w:val="left" w:pos="1421"/>
              </w:tabs>
              <w:spacing w:before="40" w:after="40" w:line="240" w:lineRule="auto"/>
              <w:ind w:right="351"/>
              <w:jc w:val="right"/>
              <w:rPr>
                <w:rFonts w:ascii="Arial" w:hAnsi="Arial" w:cs="Arial"/>
              </w:rPr>
            </w:pPr>
            <w:r>
              <w:rPr>
                <w:rFonts w:ascii="Arial" w:hAnsi="Arial" w:cs="Arial"/>
              </w:rPr>
              <w:t>$408.04</w:t>
            </w:r>
          </w:p>
          <w:p w14:paraId="55496AA7" w14:textId="77777777" w:rsidR="0094741F" w:rsidRDefault="0094741F" w:rsidP="00723D59">
            <w:pPr>
              <w:tabs>
                <w:tab w:val="left" w:pos="1421"/>
              </w:tabs>
              <w:spacing w:before="40" w:after="40" w:line="240" w:lineRule="auto"/>
              <w:ind w:right="351"/>
              <w:jc w:val="right"/>
              <w:rPr>
                <w:rFonts w:ascii="Arial" w:hAnsi="Arial" w:cs="Arial"/>
              </w:rPr>
            </w:pPr>
            <w:r>
              <w:rPr>
                <w:rFonts w:ascii="Arial" w:hAnsi="Arial" w:cs="Arial"/>
              </w:rPr>
              <w:t>$7,550.22</w:t>
            </w:r>
          </w:p>
        </w:tc>
        <w:tc>
          <w:tcPr>
            <w:tcW w:w="1591" w:type="dxa"/>
          </w:tcPr>
          <w:p w14:paraId="7C8D7982" w14:textId="77777777" w:rsidR="0094741F" w:rsidRDefault="0094741F" w:rsidP="00723D59">
            <w:pPr>
              <w:spacing w:before="40" w:after="40" w:line="240" w:lineRule="auto"/>
              <w:jc w:val="center"/>
              <w:rPr>
                <w:rFonts w:ascii="Arial" w:hAnsi="Arial" w:cs="Arial"/>
              </w:rPr>
            </w:pPr>
          </w:p>
          <w:p w14:paraId="5A7B5F32" w14:textId="77777777" w:rsidR="0094741F" w:rsidRDefault="0094741F" w:rsidP="00723D59">
            <w:pPr>
              <w:spacing w:before="40" w:after="40" w:line="240" w:lineRule="auto"/>
              <w:jc w:val="center"/>
              <w:rPr>
                <w:rFonts w:ascii="Arial" w:hAnsi="Arial" w:cs="Arial"/>
              </w:rPr>
            </w:pPr>
            <w:r>
              <w:rPr>
                <w:rFonts w:ascii="Arial" w:hAnsi="Arial" w:cs="Arial"/>
              </w:rPr>
              <w:t>403</w:t>
            </w:r>
          </w:p>
          <w:p w14:paraId="49FFDB74" w14:textId="77777777" w:rsidR="0094741F" w:rsidRDefault="0094741F" w:rsidP="00723D59">
            <w:pPr>
              <w:spacing w:before="40" w:after="40" w:line="240" w:lineRule="auto"/>
              <w:jc w:val="center"/>
              <w:rPr>
                <w:rFonts w:ascii="Arial" w:hAnsi="Arial" w:cs="Arial"/>
              </w:rPr>
            </w:pPr>
            <w:r>
              <w:rPr>
                <w:rFonts w:ascii="Arial" w:hAnsi="Arial" w:cs="Arial"/>
              </w:rPr>
              <w:t>37</w:t>
            </w:r>
          </w:p>
          <w:p w14:paraId="7792C642" w14:textId="77777777" w:rsidR="0094741F" w:rsidRDefault="0094741F" w:rsidP="00723D59">
            <w:pPr>
              <w:spacing w:before="40" w:after="40" w:line="240" w:lineRule="auto"/>
              <w:jc w:val="center"/>
              <w:rPr>
                <w:rFonts w:ascii="Arial" w:hAnsi="Arial" w:cs="Arial"/>
              </w:rPr>
            </w:pPr>
            <w:r>
              <w:rPr>
                <w:rFonts w:ascii="Arial" w:hAnsi="Arial" w:cs="Arial"/>
              </w:rPr>
              <w:t>1</w:t>
            </w:r>
          </w:p>
        </w:tc>
      </w:tr>
      <w:tr w:rsidR="0094741F" w14:paraId="34B11355" w14:textId="77777777" w:rsidTr="00AA0D78">
        <w:trPr>
          <w:trHeight w:val="870"/>
          <w:jc w:val="center"/>
        </w:trPr>
        <w:tc>
          <w:tcPr>
            <w:tcW w:w="3595" w:type="dxa"/>
          </w:tcPr>
          <w:p w14:paraId="4CE22BE9" w14:textId="6BA3DE4B" w:rsidR="0094741F" w:rsidRDefault="0094741F" w:rsidP="00723D59">
            <w:pPr>
              <w:spacing w:before="40" w:after="40" w:line="240" w:lineRule="auto"/>
              <w:rPr>
                <w:rFonts w:ascii="Arial" w:hAnsi="Arial" w:cs="Arial"/>
              </w:rPr>
            </w:pPr>
            <w:r w:rsidRPr="00647337">
              <w:rPr>
                <w:rFonts w:ascii="Arial" w:hAnsi="Arial" w:cs="Arial"/>
              </w:rPr>
              <w:t>Street</w:t>
            </w:r>
            <w:r>
              <w:rPr>
                <w:rFonts w:ascii="Arial" w:hAnsi="Arial" w:cs="Arial"/>
              </w:rPr>
              <w:t xml:space="preserve"> (m</w:t>
            </w:r>
            <w:r w:rsidRPr="00A96EDB">
              <w:rPr>
                <w:rFonts w:ascii="Arial" w:hAnsi="Arial" w:cs="Arial"/>
              </w:rPr>
              <w:t xml:space="preserve">aintenance, </w:t>
            </w:r>
            <w:r>
              <w:rPr>
                <w:rFonts w:ascii="Arial" w:hAnsi="Arial" w:cs="Arial"/>
              </w:rPr>
              <w:t>d</w:t>
            </w:r>
            <w:r w:rsidRPr="00A96EDB">
              <w:rPr>
                <w:rFonts w:ascii="Arial" w:hAnsi="Arial" w:cs="Arial"/>
              </w:rPr>
              <w:t xml:space="preserve">rainage, </w:t>
            </w:r>
            <w:r>
              <w:rPr>
                <w:rFonts w:ascii="Arial" w:hAnsi="Arial" w:cs="Arial"/>
              </w:rPr>
              <w:t>s</w:t>
            </w:r>
            <w:r w:rsidRPr="00A96EDB">
              <w:rPr>
                <w:rFonts w:ascii="Arial" w:hAnsi="Arial" w:cs="Arial"/>
              </w:rPr>
              <w:t xml:space="preserve">weeping, and </w:t>
            </w:r>
            <w:r>
              <w:rPr>
                <w:rFonts w:ascii="Arial" w:hAnsi="Arial" w:cs="Arial"/>
              </w:rPr>
              <w:t>l</w:t>
            </w:r>
            <w:r w:rsidRPr="00A96EDB">
              <w:rPr>
                <w:rFonts w:ascii="Arial" w:hAnsi="Arial" w:cs="Arial"/>
              </w:rPr>
              <w:t>andscaping</w:t>
            </w:r>
            <w:r w:rsidRPr="00647337">
              <w:rPr>
                <w:rFonts w:ascii="Arial" w:hAnsi="Arial" w:cs="Arial"/>
              </w:rPr>
              <w:t>)</w:t>
            </w:r>
            <w:r>
              <w:rPr>
                <w:rFonts w:ascii="Arial" w:hAnsi="Arial" w:cs="Arial"/>
              </w:rPr>
              <w:t>:</w:t>
            </w:r>
          </w:p>
          <w:p w14:paraId="1BBB6D9A" w14:textId="77777777" w:rsidR="0094741F" w:rsidRPr="00424B00" w:rsidRDefault="0094741F" w:rsidP="00723D59">
            <w:pPr>
              <w:pStyle w:val="ListParagraph"/>
              <w:numPr>
                <w:ilvl w:val="0"/>
                <w:numId w:val="26"/>
              </w:numPr>
              <w:spacing w:before="40" w:after="40" w:line="240" w:lineRule="auto"/>
              <w:contextualSpacing w:val="0"/>
              <w:rPr>
                <w:rFonts w:ascii="Arial" w:hAnsi="Arial" w:cs="Arial"/>
              </w:rPr>
            </w:pPr>
            <w:r w:rsidRPr="00424B00">
              <w:rPr>
                <w:rFonts w:ascii="Arial" w:hAnsi="Arial" w:cs="Arial"/>
              </w:rPr>
              <w:t>Residential</w:t>
            </w:r>
          </w:p>
          <w:p w14:paraId="00686C44" w14:textId="77777777" w:rsidR="0094741F" w:rsidRPr="00424B00" w:rsidRDefault="0094741F" w:rsidP="00723D59">
            <w:pPr>
              <w:pStyle w:val="ListParagraph"/>
              <w:numPr>
                <w:ilvl w:val="0"/>
                <w:numId w:val="26"/>
              </w:numPr>
              <w:spacing w:before="40" w:after="40" w:line="240" w:lineRule="auto"/>
              <w:contextualSpacing w:val="0"/>
              <w:rPr>
                <w:rFonts w:ascii="Arial" w:hAnsi="Arial" w:cs="Arial"/>
              </w:rPr>
            </w:pPr>
            <w:r w:rsidRPr="00424B00">
              <w:rPr>
                <w:rFonts w:ascii="Arial" w:hAnsi="Arial" w:cs="Arial"/>
              </w:rPr>
              <w:t>El Macero Country Club</w:t>
            </w:r>
          </w:p>
        </w:tc>
        <w:tc>
          <w:tcPr>
            <w:tcW w:w="1440" w:type="dxa"/>
          </w:tcPr>
          <w:p w14:paraId="410E0C79" w14:textId="77777777" w:rsidR="0094741F" w:rsidRPr="00647337" w:rsidRDefault="0094741F" w:rsidP="00723D59">
            <w:pPr>
              <w:tabs>
                <w:tab w:val="left" w:pos="1480"/>
              </w:tabs>
              <w:spacing w:before="40" w:after="40" w:line="240" w:lineRule="auto"/>
              <w:jc w:val="center"/>
              <w:rPr>
                <w:rFonts w:ascii="Arial" w:hAnsi="Arial" w:cs="Arial"/>
              </w:rPr>
            </w:pPr>
            <w:r w:rsidRPr="00647337">
              <w:rPr>
                <w:rFonts w:ascii="Arial" w:hAnsi="Arial" w:cs="Arial"/>
              </w:rPr>
              <w:t>Yolo County</w:t>
            </w:r>
          </w:p>
          <w:p w14:paraId="53015865" w14:textId="081BA0FF" w:rsidR="0094741F" w:rsidRPr="00647337" w:rsidRDefault="0094741F" w:rsidP="00723D59">
            <w:pPr>
              <w:tabs>
                <w:tab w:val="left" w:pos="1480"/>
              </w:tabs>
              <w:spacing w:before="40" w:after="40" w:line="240" w:lineRule="auto"/>
              <w:jc w:val="center"/>
              <w:rPr>
                <w:rFonts w:ascii="Arial" w:hAnsi="Arial" w:cs="Arial"/>
              </w:rPr>
            </w:pPr>
          </w:p>
        </w:tc>
        <w:tc>
          <w:tcPr>
            <w:tcW w:w="1649" w:type="dxa"/>
          </w:tcPr>
          <w:p w14:paraId="75A90C21" w14:textId="77777777" w:rsidR="0094741F" w:rsidRDefault="0094741F" w:rsidP="00723D59">
            <w:pPr>
              <w:tabs>
                <w:tab w:val="left" w:pos="1421"/>
              </w:tabs>
              <w:spacing w:before="40" w:after="40" w:line="240" w:lineRule="auto"/>
              <w:ind w:right="351"/>
              <w:jc w:val="right"/>
              <w:rPr>
                <w:rFonts w:ascii="Arial" w:hAnsi="Arial" w:cs="Arial"/>
              </w:rPr>
            </w:pPr>
          </w:p>
          <w:p w14:paraId="71434E56" w14:textId="77777777" w:rsidR="0094741F" w:rsidRDefault="0094741F" w:rsidP="00723D59">
            <w:pPr>
              <w:tabs>
                <w:tab w:val="left" w:pos="1421"/>
              </w:tabs>
              <w:spacing w:before="40" w:after="40" w:line="240" w:lineRule="auto"/>
              <w:ind w:right="351"/>
              <w:jc w:val="right"/>
              <w:rPr>
                <w:rFonts w:ascii="Arial" w:hAnsi="Arial" w:cs="Arial"/>
              </w:rPr>
            </w:pPr>
          </w:p>
          <w:p w14:paraId="3E213F4A" w14:textId="77777777" w:rsidR="0094741F" w:rsidRDefault="0094741F" w:rsidP="00723D59">
            <w:pPr>
              <w:tabs>
                <w:tab w:val="left" w:pos="1421"/>
              </w:tabs>
              <w:spacing w:before="40" w:after="40" w:line="240" w:lineRule="auto"/>
              <w:ind w:right="351"/>
              <w:jc w:val="right"/>
              <w:rPr>
                <w:rFonts w:ascii="Arial" w:hAnsi="Arial" w:cs="Arial"/>
              </w:rPr>
            </w:pPr>
            <w:r>
              <w:rPr>
                <w:rFonts w:ascii="Arial" w:hAnsi="Arial" w:cs="Arial"/>
              </w:rPr>
              <w:t>$180.00</w:t>
            </w:r>
          </w:p>
          <w:p w14:paraId="1C85D213" w14:textId="77777777" w:rsidR="0094741F" w:rsidRDefault="0094741F" w:rsidP="00723D59">
            <w:pPr>
              <w:tabs>
                <w:tab w:val="left" w:pos="1421"/>
              </w:tabs>
              <w:spacing w:before="40" w:after="40" w:line="240" w:lineRule="auto"/>
              <w:ind w:right="351"/>
              <w:jc w:val="right"/>
              <w:rPr>
                <w:rFonts w:ascii="Arial" w:hAnsi="Arial" w:cs="Arial"/>
              </w:rPr>
            </w:pPr>
            <w:r>
              <w:rPr>
                <w:rFonts w:ascii="Arial" w:hAnsi="Arial" w:cs="Arial"/>
              </w:rPr>
              <w:t>$3,600.00</w:t>
            </w:r>
          </w:p>
        </w:tc>
        <w:tc>
          <w:tcPr>
            <w:tcW w:w="1591" w:type="dxa"/>
          </w:tcPr>
          <w:p w14:paraId="54D8F4B9" w14:textId="77777777" w:rsidR="0094741F" w:rsidRDefault="0094741F" w:rsidP="00723D59">
            <w:pPr>
              <w:spacing w:before="40" w:after="40" w:line="240" w:lineRule="auto"/>
              <w:jc w:val="center"/>
              <w:rPr>
                <w:rFonts w:ascii="Arial" w:hAnsi="Arial" w:cs="Arial"/>
              </w:rPr>
            </w:pPr>
          </w:p>
          <w:p w14:paraId="22314489" w14:textId="77777777" w:rsidR="0094741F" w:rsidRDefault="0094741F" w:rsidP="00723D59">
            <w:pPr>
              <w:spacing w:before="40" w:after="40" w:line="240" w:lineRule="auto"/>
              <w:jc w:val="center"/>
              <w:rPr>
                <w:rFonts w:ascii="Arial" w:hAnsi="Arial" w:cs="Arial"/>
              </w:rPr>
            </w:pPr>
          </w:p>
          <w:p w14:paraId="571F01C0" w14:textId="77777777" w:rsidR="0094741F" w:rsidRDefault="0094741F" w:rsidP="00723D59">
            <w:pPr>
              <w:spacing w:before="40" w:after="40" w:line="240" w:lineRule="auto"/>
              <w:jc w:val="center"/>
              <w:rPr>
                <w:rFonts w:ascii="Arial" w:hAnsi="Arial" w:cs="Arial"/>
              </w:rPr>
            </w:pPr>
            <w:r>
              <w:rPr>
                <w:rFonts w:ascii="Arial" w:hAnsi="Arial" w:cs="Arial"/>
              </w:rPr>
              <w:t>447</w:t>
            </w:r>
          </w:p>
          <w:p w14:paraId="5B93159D" w14:textId="77777777" w:rsidR="0094741F" w:rsidRDefault="0094741F" w:rsidP="00723D59">
            <w:pPr>
              <w:spacing w:before="40" w:after="40" w:line="240" w:lineRule="auto"/>
              <w:jc w:val="center"/>
              <w:rPr>
                <w:rFonts w:ascii="Arial" w:hAnsi="Arial" w:cs="Arial"/>
              </w:rPr>
            </w:pPr>
            <w:r>
              <w:rPr>
                <w:rFonts w:ascii="Arial" w:hAnsi="Arial" w:cs="Arial"/>
              </w:rPr>
              <w:t>1</w:t>
            </w:r>
          </w:p>
        </w:tc>
      </w:tr>
      <w:tr w:rsidR="0094741F" w14:paraId="2DEE1695" w14:textId="77777777" w:rsidTr="00AA0D78">
        <w:trPr>
          <w:jc w:val="center"/>
        </w:trPr>
        <w:tc>
          <w:tcPr>
            <w:tcW w:w="3595" w:type="dxa"/>
          </w:tcPr>
          <w:p w14:paraId="083F81EB" w14:textId="77777777" w:rsidR="0094741F" w:rsidRDefault="0094741F" w:rsidP="00723D59">
            <w:pPr>
              <w:spacing w:before="40" w:after="40" w:line="240" w:lineRule="auto"/>
              <w:rPr>
                <w:rFonts w:ascii="Arial" w:hAnsi="Arial" w:cs="Arial"/>
              </w:rPr>
            </w:pPr>
            <w:r w:rsidRPr="005F5726">
              <w:rPr>
                <w:rFonts w:ascii="Arial" w:hAnsi="Arial" w:cs="Arial"/>
              </w:rPr>
              <w:t>Drainage (outflow from the EMCSA)</w:t>
            </w:r>
          </w:p>
        </w:tc>
        <w:tc>
          <w:tcPr>
            <w:tcW w:w="1440" w:type="dxa"/>
          </w:tcPr>
          <w:p w14:paraId="0767C647" w14:textId="77777777" w:rsidR="0094741F" w:rsidRDefault="0094741F" w:rsidP="00723D59">
            <w:pPr>
              <w:tabs>
                <w:tab w:val="left" w:pos="1480"/>
              </w:tabs>
              <w:spacing w:before="40" w:after="40" w:line="240" w:lineRule="auto"/>
              <w:jc w:val="center"/>
              <w:rPr>
                <w:rFonts w:ascii="Arial" w:hAnsi="Arial" w:cs="Arial"/>
              </w:rPr>
            </w:pPr>
            <w:r>
              <w:rPr>
                <w:rFonts w:ascii="Arial" w:hAnsi="Arial" w:cs="Arial"/>
              </w:rPr>
              <w:t>City of Davis</w:t>
            </w:r>
          </w:p>
        </w:tc>
        <w:tc>
          <w:tcPr>
            <w:tcW w:w="1649" w:type="dxa"/>
          </w:tcPr>
          <w:p w14:paraId="332E4439" w14:textId="77777777" w:rsidR="0094741F" w:rsidRDefault="0094741F" w:rsidP="00723D59">
            <w:pPr>
              <w:tabs>
                <w:tab w:val="left" w:pos="1421"/>
              </w:tabs>
              <w:spacing w:before="40" w:after="40" w:line="240" w:lineRule="auto"/>
              <w:ind w:right="351"/>
              <w:jc w:val="right"/>
              <w:rPr>
                <w:rFonts w:ascii="Arial" w:hAnsi="Arial" w:cs="Arial"/>
              </w:rPr>
            </w:pPr>
            <w:r>
              <w:rPr>
                <w:rFonts w:ascii="Arial" w:hAnsi="Arial" w:cs="Arial"/>
              </w:rPr>
              <w:t>NA</w:t>
            </w:r>
          </w:p>
        </w:tc>
        <w:tc>
          <w:tcPr>
            <w:tcW w:w="1591" w:type="dxa"/>
          </w:tcPr>
          <w:p w14:paraId="10FBFB8D" w14:textId="77777777" w:rsidR="0094741F" w:rsidRDefault="0094741F" w:rsidP="00723D59">
            <w:pPr>
              <w:spacing w:before="40" w:after="40" w:line="240" w:lineRule="auto"/>
              <w:jc w:val="center"/>
              <w:rPr>
                <w:rFonts w:ascii="Arial" w:hAnsi="Arial" w:cs="Arial"/>
              </w:rPr>
            </w:pPr>
            <w:r>
              <w:rPr>
                <w:rFonts w:ascii="Arial" w:hAnsi="Arial" w:cs="Arial"/>
              </w:rPr>
              <w:t>NA</w:t>
            </w:r>
          </w:p>
        </w:tc>
      </w:tr>
    </w:tbl>
    <w:p w14:paraId="21E51B1C" w14:textId="77777777" w:rsidR="0094741F" w:rsidRDefault="0094741F" w:rsidP="007A665D">
      <w:pPr>
        <w:spacing w:after="120" w:line="240" w:lineRule="auto"/>
        <w:rPr>
          <w:rFonts w:ascii="Arial" w:hAnsi="Arial" w:cs="Arial"/>
        </w:rPr>
      </w:pPr>
    </w:p>
    <w:p w14:paraId="6D4DD7DD" w14:textId="77777777" w:rsidR="0094741F" w:rsidRPr="0094741F" w:rsidRDefault="0094741F" w:rsidP="007A665D">
      <w:pPr>
        <w:spacing w:after="120" w:line="240" w:lineRule="auto"/>
        <w:rPr>
          <w:rFonts w:ascii="Arial" w:hAnsi="Arial" w:cs="Arial"/>
        </w:rPr>
      </w:pPr>
      <w:r>
        <w:rPr>
          <w:rFonts w:ascii="Arial" w:hAnsi="Arial" w:cs="Arial"/>
        </w:rPr>
        <w:t>I</w:t>
      </w:r>
      <w:r w:rsidRPr="0094741F">
        <w:rPr>
          <w:rFonts w:ascii="Arial" w:hAnsi="Arial" w:cs="Arial"/>
        </w:rPr>
        <w:t>ncreases in service charges are subject to voter approval as described above. The following is a listing of Prop 218 proceedings, over the past 5 years, and the results:</w:t>
      </w:r>
    </w:p>
    <w:p w14:paraId="5E5F1931" w14:textId="060C4924" w:rsidR="0094741F" w:rsidRPr="0094741F" w:rsidRDefault="0094741F" w:rsidP="007A665D">
      <w:pPr>
        <w:pStyle w:val="ListParagraph"/>
        <w:numPr>
          <w:ilvl w:val="0"/>
          <w:numId w:val="31"/>
        </w:numPr>
        <w:spacing w:after="120" w:line="240" w:lineRule="auto"/>
        <w:rPr>
          <w:rFonts w:ascii="Arial" w:hAnsi="Arial" w:cs="Arial"/>
        </w:rPr>
      </w:pPr>
      <w:r w:rsidRPr="0094741F">
        <w:rPr>
          <w:rFonts w:ascii="Arial" w:hAnsi="Arial" w:cs="Arial"/>
        </w:rPr>
        <w:t>7/28/2015 – Water rates</w:t>
      </w:r>
      <w:r>
        <w:rPr>
          <w:rFonts w:ascii="Arial" w:hAnsi="Arial" w:cs="Arial"/>
        </w:rPr>
        <w:t xml:space="preserve"> (passed)</w:t>
      </w:r>
    </w:p>
    <w:p w14:paraId="015659D3" w14:textId="5DE557F2" w:rsidR="0094741F" w:rsidRPr="0094741F" w:rsidRDefault="0094741F" w:rsidP="007A665D">
      <w:pPr>
        <w:pStyle w:val="ListParagraph"/>
        <w:numPr>
          <w:ilvl w:val="0"/>
          <w:numId w:val="31"/>
        </w:numPr>
        <w:spacing w:after="120" w:line="240" w:lineRule="auto"/>
        <w:rPr>
          <w:rFonts w:ascii="Arial" w:hAnsi="Arial" w:cs="Arial"/>
        </w:rPr>
      </w:pPr>
      <w:r w:rsidRPr="0094741F">
        <w:rPr>
          <w:rFonts w:ascii="Arial" w:hAnsi="Arial" w:cs="Arial"/>
        </w:rPr>
        <w:t>7/09/2019 – Water and sewer rates</w:t>
      </w:r>
      <w:r>
        <w:rPr>
          <w:rFonts w:ascii="Arial" w:hAnsi="Arial" w:cs="Arial"/>
        </w:rPr>
        <w:t xml:space="preserve"> (passed)</w:t>
      </w:r>
    </w:p>
    <w:p w14:paraId="68C0B224" w14:textId="1022D361" w:rsidR="0094741F" w:rsidRPr="0094741F" w:rsidRDefault="0094741F" w:rsidP="007A665D">
      <w:pPr>
        <w:pStyle w:val="ListParagraph"/>
        <w:numPr>
          <w:ilvl w:val="0"/>
          <w:numId w:val="31"/>
        </w:numPr>
        <w:spacing w:after="120" w:line="240" w:lineRule="auto"/>
        <w:rPr>
          <w:rFonts w:ascii="Arial" w:hAnsi="Arial" w:cs="Arial"/>
        </w:rPr>
      </w:pPr>
      <w:r w:rsidRPr="0094741F">
        <w:rPr>
          <w:rFonts w:ascii="Arial" w:hAnsi="Arial" w:cs="Arial"/>
        </w:rPr>
        <w:t>1/12/2021 – Streets rates</w:t>
      </w:r>
      <w:r>
        <w:rPr>
          <w:rFonts w:ascii="Arial" w:hAnsi="Arial" w:cs="Arial"/>
        </w:rPr>
        <w:t xml:space="preserve"> (failed)</w:t>
      </w:r>
    </w:p>
    <w:bookmarkEnd w:id="15"/>
    <w:bookmarkEnd w:id="16"/>
    <w:p w14:paraId="526733A3" w14:textId="73C2FF2E" w:rsidR="0094741F" w:rsidRPr="002F58ED" w:rsidRDefault="0094741F" w:rsidP="007A665D">
      <w:pPr>
        <w:spacing w:after="120" w:line="240" w:lineRule="auto"/>
        <w:rPr>
          <w:rFonts w:ascii="Arial" w:eastAsia="Times New Roman" w:hAnsi="Arial" w:cs="Arial"/>
        </w:rPr>
      </w:pPr>
      <w:r>
        <w:rPr>
          <w:noProof/>
        </w:rPr>
        <w:lastRenderedPageBreak/>
        <w:drawing>
          <wp:inline distT="0" distB="0" distL="0" distR="0" wp14:anchorId="1AC4849E" wp14:editId="4FEF7F1B">
            <wp:extent cx="5943600" cy="7260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260590"/>
                    </a:xfrm>
                    <a:prstGeom prst="rect">
                      <a:avLst/>
                    </a:prstGeom>
                  </pic:spPr>
                </pic:pic>
              </a:graphicData>
            </a:graphic>
          </wp:inline>
        </w:drawing>
      </w:r>
    </w:p>
    <w:p w14:paraId="526F34F8" w14:textId="77777777" w:rsidR="00D1368D" w:rsidRDefault="00D1368D" w:rsidP="007A665D">
      <w:pPr>
        <w:tabs>
          <w:tab w:val="left" w:pos="360"/>
        </w:tabs>
        <w:spacing w:after="120" w:line="240" w:lineRule="auto"/>
        <w:rPr>
          <w:rFonts w:ascii="Arial" w:eastAsia="Times New Roman" w:hAnsi="Arial" w:cs="Arial"/>
        </w:rPr>
      </w:pPr>
    </w:p>
    <w:p w14:paraId="1CB1A0D6" w14:textId="77777777" w:rsidR="00A91A52" w:rsidRDefault="002F58ED" w:rsidP="007A665D">
      <w:pPr>
        <w:tabs>
          <w:tab w:val="left" w:pos="360"/>
        </w:tabs>
        <w:spacing w:after="120" w:line="240" w:lineRule="auto"/>
        <w:rPr>
          <w:rFonts w:ascii="Arial" w:eastAsia="Times New Roman" w:hAnsi="Arial" w:cs="Arial"/>
        </w:rPr>
      </w:pPr>
      <w:r w:rsidRPr="002F58ED">
        <w:rPr>
          <w:rFonts w:ascii="Arial" w:eastAsia="Times New Roman" w:hAnsi="Arial" w:cs="Arial"/>
        </w:rPr>
        <w:t xml:space="preserve">The </w:t>
      </w:r>
      <w:r w:rsidR="00D1368D">
        <w:rPr>
          <w:rFonts w:ascii="Arial" w:eastAsia="Times New Roman" w:hAnsi="Arial" w:cs="Arial"/>
        </w:rPr>
        <w:t xml:space="preserve">El Macero </w:t>
      </w:r>
      <w:r w:rsidRPr="002F58ED">
        <w:rPr>
          <w:rFonts w:ascii="Arial" w:eastAsia="Times New Roman" w:hAnsi="Arial" w:cs="Arial"/>
        </w:rPr>
        <w:t xml:space="preserve">CSA is financially sound. </w:t>
      </w:r>
      <w:r w:rsidR="00856C9A">
        <w:rPr>
          <w:rFonts w:ascii="Arial" w:eastAsia="Times New Roman" w:hAnsi="Arial" w:cs="Arial"/>
        </w:rPr>
        <w:t>The</w:t>
      </w:r>
      <w:r w:rsidRPr="002F58ED">
        <w:rPr>
          <w:rFonts w:ascii="Arial" w:eastAsia="Times New Roman" w:hAnsi="Arial" w:cs="Arial"/>
        </w:rPr>
        <w:t xml:space="preserve"> total fund balance </w:t>
      </w:r>
      <w:r w:rsidR="00856C9A">
        <w:rPr>
          <w:rFonts w:ascii="Arial" w:eastAsia="Times New Roman" w:hAnsi="Arial" w:cs="Arial"/>
        </w:rPr>
        <w:t xml:space="preserve">remained relatively flat from 2018 to 2022, increasing by </w:t>
      </w:r>
      <w:r w:rsidRPr="002F58ED">
        <w:rPr>
          <w:rFonts w:ascii="Arial" w:eastAsia="Times New Roman" w:hAnsi="Arial" w:cs="Arial"/>
        </w:rPr>
        <w:t>$</w:t>
      </w:r>
      <w:r w:rsidR="00856C9A">
        <w:rPr>
          <w:rFonts w:ascii="Arial" w:eastAsia="Times New Roman" w:hAnsi="Arial" w:cs="Arial"/>
        </w:rPr>
        <w:t>51,</w:t>
      </w:r>
      <w:r w:rsidR="00D22BC3">
        <w:rPr>
          <w:rFonts w:ascii="Arial" w:eastAsia="Times New Roman" w:hAnsi="Arial" w:cs="Arial"/>
        </w:rPr>
        <w:t xml:space="preserve">561. </w:t>
      </w:r>
      <w:r w:rsidRPr="002F58ED">
        <w:rPr>
          <w:rFonts w:ascii="Arial" w:eastAsia="Times New Roman" w:hAnsi="Arial" w:cs="Arial"/>
        </w:rPr>
        <w:t xml:space="preserve">Revenues have generally kept pace with on-going operational expenditures. The cost of residential water provided by the City of Davis has increased an average of </w:t>
      </w:r>
      <w:r w:rsidR="00D22BC3">
        <w:rPr>
          <w:rFonts w:ascii="Arial" w:eastAsia="Times New Roman" w:hAnsi="Arial" w:cs="Arial"/>
        </w:rPr>
        <w:t>12</w:t>
      </w:r>
      <w:r w:rsidRPr="002F58ED">
        <w:rPr>
          <w:rFonts w:ascii="Arial" w:eastAsia="Times New Roman" w:hAnsi="Arial" w:cs="Arial"/>
        </w:rPr>
        <w:t>% each fiscal year</w:t>
      </w:r>
      <w:r w:rsidR="00D22BC3">
        <w:rPr>
          <w:rFonts w:ascii="Arial" w:eastAsia="Times New Roman" w:hAnsi="Arial" w:cs="Arial"/>
        </w:rPr>
        <w:t xml:space="preserve"> from 2018 to 2021</w:t>
      </w:r>
      <w:r w:rsidR="00707085">
        <w:rPr>
          <w:rFonts w:ascii="Arial" w:eastAsia="Times New Roman" w:hAnsi="Arial" w:cs="Arial"/>
        </w:rPr>
        <w:t>,</w:t>
      </w:r>
      <w:r w:rsidR="00D22BC3">
        <w:rPr>
          <w:rFonts w:ascii="Arial" w:eastAsia="Times New Roman" w:hAnsi="Arial" w:cs="Arial"/>
        </w:rPr>
        <w:t xml:space="preserve"> but then went down by 18% in 2022</w:t>
      </w:r>
      <w:r w:rsidRPr="002F58ED">
        <w:rPr>
          <w:rFonts w:ascii="Arial" w:eastAsia="Times New Roman" w:hAnsi="Arial" w:cs="Arial"/>
        </w:rPr>
        <w:t xml:space="preserve">. The residents are billed one year in arears when </w:t>
      </w:r>
      <w:r w:rsidRPr="002F58ED">
        <w:rPr>
          <w:rFonts w:ascii="Arial" w:eastAsia="Times New Roman" w:hAnsi="Arial" w:cs="Arial"/>
        </w:rPr>
        <w:lastRenderedPageBreak/>
        <w:t xml:space="preserve">the actual expenditure amount and usage data becomes available from the City of Davis. </w:t>
      </w:r>
      <w:r w:rsidR="007A665D">
        <w:rPr>
          <w:rFonts w:ascii="Arial" w:eastAsia="Times New Roman" w:hAnsi="Arial" w:cs="Arial"/>
        </w:rPr>
        <w:t>Over</w:t>
      </w:r>
      <w:r w:rsidR="00DC2916">
        <w:rPr>
          <w:rFonts w:ascii="Arial" w:eastAsia="Times New Roman" w:hAnsi="Arial" w:cs="Arial"/>
        </w:rPr>
        <w:t xml:space="preserve"> 2018-2022, 66% of total expenditures are water related, 16% streets (maintenance, landscaping, and </w:t>
      </w:r>
      <w:r w:rsidR="00C87135">
        <w:rPr>
          <w:rFonts w:ascii="Arial" w:eastAsia="Times New Roman" w:hAnsi="Arial" w:cs="Arial"/>
        </w:rPr>
        <w:t>sweeping</w:t>
      </w:r>
      <w:r w:rsidR="00DC2916">
        <w:rPr>
          <w:rFonts w:ascii="Arial" w:eastAsia="Times New Roman" w:hAnsi="Arial" w:cs="Arial"/>
        </w:rPr>
        <w:t xml:space="preserve">), 14% wastewater, and 4% administration. </w:t>
      </w:r>
    </w:p>
    <w:p w14:paraId="1AE78949" w14:textId="502EF5BC" w:rsidR="002F58ED" w:rsidRPr="00FB231D" w:rsidRDefault="002F58ED" w:rsidP="007A665D">
      <w:pPr>
        <w:tabs>
          <w:tab w:val="left" w:pos="360"/>
        </w:tabs>
        <w:spacing w:after="120" w:line="240" w:lineRule="auto"/>
        <w:contextualSpacing/>
        <w:rPr>
          <w:rFonts w:ascii="Arial" w:eastAsia="Times New Roman" w:hAnsi="Arial" w:cs="Arial"/>
        </w:rPr>
      </w:pPr>
      <w:bookmarkStart w:id="17" w:name="_MON_1644128177"/>
      <w:bookmarkEnd w:id="17"/>
      <w:r w:rsidRPr="00FB231D">
        <w:rPr>
          <w:rFonts w:ascii="Arial" w:eastAsia="Times New Roman" w:hAnsi="Arial" w:cs="Arial"/>
        </w:rPr>
        <w:t>As a dependent district of the County, all accounting records are processed and maintained by the County’s Department of Financial Services (DFS). All transactions are subject to the policies and procedures of the County, which comply with the Government Accounting Standards Board, the accounting standards setting body for governments. In addition, the accounting and financial reporting of the CSA is also in compliance with the California State Controller’s Office.</w:t>
      </w:r>
      <w:r w:rsidR="0094741F" w:rsidRPr="00FB231D">
        <w:rPr>
          <w:rFonts w:ascii="Arial" w:eastAsia="Times New Roman" w:hAnsi="Arial" w:cs="Arial"/>
        </w:rPr>
        <w:t xml:space="preserve"> </w:t>
      </w:r>
      <w:r w:rsidRPr="00FB231D">
        <w:rPr>
          <w:rFonts w:ascii="Arial" w:eastAsia="Times New Roman" w:hAnsi="Arial" w:cs="Arial"/>
        </w:rPr>
        <w:t xml:space="preserve">However, due to delayed billings by the City of Davis and other service providers, expenditures reported on the County’s accounting system through 2019 may not reflect the actual cost of service for any particular year. For example, as allowed by general accepted accounting principles, estimates of expenses owed at year end were recorded instead of the actual cost due to delayed billings by service providers. The accruals were reversed at the beginning of the following fiscal year, as required by accounting practice, so that only the amounts </w:t>
      </w:r>
      <w:proofErr w:type="gramStart"/>
      <w:r w:rsidRPr="00FB231D">
        <w:rPr>
          <w:rFonts w:ascii="Arial" w:eastAsia="Times New Roman" w:hAnsi="Arial" w:cs="Arial"/>
        </w:rPr>
        <w:t>actually billed</w:t>
      </w:r>
      <w:proofErr w:type="gramEnd"/>
      <w:r w:rsidRPr="00FB231D">
        <w:rPr>
          <w:rFonts w:ascii="Arial" w:eastAsia="Times New Roman" w:hAnsi="Arial" w:cs="Arial"/>
        </w:rPr>
        <w:t xml:space="preserve"> and paid by the CSA would be recorded in the ledgers. The County and City of Davis have worked together to resolve this lag in invoicing.</w:t>
      </w:r>
    </w:p>
    <w:p w14:paraId="3F8A63C0" w14:textId="77777777" w:rsidR="002F58ED" w:rsidRPr="002F58ED" w:rsidRDefault="002F58ED" w:rsidP="007A665D">
      <w:pPr>
        <w:tabs>
          <w:tab w:val="left" w:pos="360"/>
        </w:tabs>
        <w:spacing w:after="120" w:line="240" w:lineRule="auto"/>
        <w:contextualSpacing/>
        <w:rPr>
          <w:rFonts w:ascii="Arial" w:eastAsia="Times New Roman" w:hAnsi="Arial" w:cs="Arial"/>
          <w:sz w:val="19"/>
          <w:szCs w:val="19"/>
        </w:rPr>
      </w:pPr>
    </w:p>
    <w:p w14:paraId="4D379263" w14:textId="743E5606" w:rsidR="002F58ED" w:rsidRPr="002F58ED" w:rsidRDefault="002F58ED" w:rsidP="007A665D">
      <w:pPr>
        <w:tabs>
          <w:tab w:val="left" w:pos="360"/>
        </w:tabs>
        <w:spacing w:after="120" w:line="240" w:lineRule="auto"/>
        <w:rPr>
          <w:rFonts w:ascii="Arial" w:eastAsia="Times New Roman" w:hAnsi="Arial" w:cs="Arial"/>
        </w:rPr>
      </w:pPr>
      <w:r w:rsidRPr="002F58ED">
        <w:rPr>
          <w:rFonts w:ascii="Arial" w:eastAsia="Times New Roman" w:hAnsi="Arial" w:cs="Arial"/>
        </w:rPr>
        <w:t>County staff provides financial reports to the advisory committee at least quarterly. As part of this process, detailed general ledger reports are generated showing all transactions posted to each account, which are then reviewed by County staff. All discrepancies are referred to DFS staff for investigation and if necessary is corrected.</w:t>
      </w:r>
    </w:p>
    <w:p w14:paraId="1BA37E9C" w14:textId="1A06D6E5" w:rsidR="00240498" w:rsidRDefault="00240498" w:rsidP="007A665D">
      <w:pPr>
        <w:tabs>
          <w:tab w:val="left" w:pos="360"/>
        </w:tabs>
        <w:spacing w:after="120" w:line="240" w:lineRule="auto"/>
        <w:rPr>
          <w:rFonts w:ascii="Arial" w:eastAsia="Times New Roman" w:hAnsi="Arial" w:cs="Arial"/>
        </w:rPr>
      </w:pPr>
      <w:r w:rsidRPr="00240498">
        <w:rPr>
          <w:rFonts w:ascii="Arial" w:eastAsia="Times New Roman" w:hAnsi="Arial" w:cs="Arial"/>
        </w:rPr>
        <w:t xml:space="preserve">Yolo County has been sued by Richard Lauckhart (or the El Macero Owners for Fair Taxes created by him), and he continues to allege there is $4 million of property taxes (AB 8 funds) missing and there are “295 invoices” (which include all transactions, they are not all invoices) charged to the CSA account that should not be. LAFCo staff has reviewed all information provided by Richard Lauckhart. Underlying these allegations is a misunderstanding about the CSA’s use of property tax revenue, which is used each year to pay for CSA costs that are not otherwise paid for by other assessments and fees. Therefore, a portion </w:t>
      </w:r>
      <w:r>
        <w:rPr>
          <w:rFonts w:ascii="Arial" w:eastAsia="Times New Roman" w:hAnsi="Arial" w:cs="Arial"/>
        </w:rPr>
        <w:t xml:space="preserve">of </w:t>
      </w:r>
      <w:r w:rsidRPr="00240498">
        <w:rPr>
          <w:rFonts w:ascii="Arial" w:eastAsia="Times New Roman" w:hAnsi="Arial" w:cs="Arial"/>
        </w:rPr>
        <w:t xml:space="preserve">or all these funds are spent each year and have not built up into some reserve that was misappropriated by the County. Based on LAFCo’s review of the CSA’s finances, all revenues paid by residents for the CSA were solely used for CSA purposes and all unexpended fund(s) at year-end remained in the CSA fund(s) to be available for future years. Regarding CSA invoices, LAFCo staff reviewed over 50% of all invoices and backup (far more than </w:t>
      </w:r>
      <w:r>
        <w:rPr>
          <w:rFonts w:ascii="Arial" w:eastAsia="Times New Roman" w:hAnsi="Arial" w:cs="Arial"/>
        </w:rPr>
        <w:t>typical</w:t>
      </w:r>
      <w:r w:rsidRPr="00240498">
        <w:rPr>
          <w:rFonts w:ascii="Arial" w:eastAsia="Times New Roman" w:hAnsi="Arial" w:cs="Arial"/>
        </w:rPr>
        <w:t xml:space="preserve"> auditor review for quality control) as well as 100% of the City of Davis invoices, and confirmed that all were appropriate. There are ample internal controls and segregation of duties in approving El Macero CSA transactions. The cost of legal services to the El Macero CSA responding to these allegations continues to be significant due to citizen Public Records Act requests and costs defending lawsuits but are expected to decrease in the current fiscal year.</w:t>
      </w:r>
    </w:p>
    <w:p w14:paraId="399561FB" w14:textId="550E2B64" w:rsidR="002F58ED" w:rsidRDefault="002F58ED" w:rsidP="007A665D">
      <w:pPr>
        <w:tabs>
          <w:tab w:val="left" w:pos="360"/>
        </w:tabs>
        <w:spacing w:after="120" w:line="240" w:lineRule="auto"/>
        <w:rPr>
          <w:rFonts w:ascii="Arial" w:eastAsia="Times New Roman" w:hAnsi="Arial" w:cs="Arial"/>
        </w:rPr>
      </w:pPr>
      <w:r w:rsidRPr="002F58ED">
        <w:rPr>
          <w:rFonts w:ascii="Arial" w:eastAsia="Times New Roman" w:hAnsi="Arial" w:cs="Arial"/>
        </w:rPr>
        <w:t xml:space="preserve">Per Agreement No. 77-90 for water and Agreement 75-97 for sewer, the City of Davis operates and maintains the water and wastewater systems within the CSA, including replacing any portion of the system which wears out or fails. Therefore, no additional CSA reserve is needed to protect against unexpected water and sewer system costs. </w:t>
      </w:r>
      <w:r w:rsidR="00707085">
        <w:rPr>
          <w:rFonts w:ascii="Arial" w:eastAsia="Times New Roman" w:hAnsi="Arial" w:cs="Arial"/>
        </w:rPr>
        <w:t xml:space="preserve">However, the CSA needs to carry an ongoing cash balance to cover the water and sewer costs paid to the City while the costs are collected from property owners through the </w:t>
      </w:r>
      <w:r w:rsidR="00707085">
        <w:rPr>
          <w:rFonts w:ascii="Arial" w:eastAsia="Times New Roman" w:hAnsi="Arial" w:cs="Arial"/>
        </w:rPr>
        <w:lastRenderedPageBreak/>
        <w:t xml:space="preserve">property tax bills, which can result in a delay of several months before the CSA is reimbursed. </w:t>
      </w:r>
      <w:r w:rsidRPr="002F58ED">
        <w:rPr>
          <w:rFonts w:ascii="Arial" w:eastAsia="Times New Roman" w:hAnsi="Arial" w:cs="Arial"/>
        </w:rPr>
        <w:t>The CSA does not have any debt.</w:t>
      </w:r>
    </w:p>
    <w:p w14:paraId="32DCB91E" w14:textId="1710B8E2" w:rsidR="002F58ED" w:rsidRPr="002F58ED" w:rsidRDefault="002F58ED" w:rsidP="007A665D">
      <w:pPr>
        <w:keepNext/>
        <w:spacing w:after="120" w:line="240" w:lineRule="auto"/>
        <w:ind w:left="360" w:hanging="360"/>
        <w:rPr>
          <w:rFonts w:ascii="Arial" w:eastAsia="Times New Roman" w:hAnsi="Arial" w:cs="Arial"/>
          <w:b/>
          <w:i/>
        </w:rPr>
      </w:pPr>
      <w:r w:rsidRPr="002F58ED">
        <w:rPr>
          <w:rFonts w:ascii="Arial" w:eastAsia="Times New Roman" w:hAnsi="Arial" w:cs="Arial"/>
          <w:b/>
        </w:rPr>
        <w:t>Financial Ability MSR Determination</w:t>
      </w:r>
      <w:r w:rsidR="007A665D">
        <w:rPr>
          <w:rFonts w:ascii="Arial" w:eastAsia="Times New Roman" w:hAnsi="Arial" w:cs="Arial"/>
          <w:b/>
        </w:rPr>
        <w:t>:</w:t>
      </w:r>
    </w:p>
    <w:p w14:paraId="58B6930E" w14:textId="258640A3" w:rsidR="002F58ED" w:rsidRPr="002F58ED" w:rsidRDefault="002F58ED" w:rsidP="007A665D">
      <w:pPr>
        <w:spacing w:after="120" w:line="240" w:lineRule="auto"/>
        <w:rPr>
          <w:rFonts w:ascii="Arial" w:eastAsia="Times New Roman" w:hAnsi="Arial" w:cs="Arial"/>
        </w:rPr>
      </w:pPr>
      <w:r w:rsidRPr="002F58ED">
        <w:rPr>
          <w:rFonts w:ascii="Arial" w:eastAsia="Times New Roman" w:hAnsi="Arial" w:cs="Arial"/>
        </w:rPr>
        <w:t>The CSA is financially sound. The 5-year trend indicates revenues and expenditures are in balance and the fund balance is increasing</w:t>
      </w:r>
      <w:r w:rsidR="007A665D">
        <w:rPr>
          <w:rFonts w:ascii="Arial" w:eastAsia="Times New Roman" w:hAnsi="Arial" w:cs="Arial"/>
        </w:rPr>
        <w:t xml:space="preserve"> slightly</w:t>
      </w:r>
      <w:r w:rsidRPr="002F58ED">
        <w:rPr>
          <w:rFonts w:ascii="Arial" w:eastAsia="Times New Roman" w:hAnsi="Arial" w:cs="Arial"/>
        </w:rPr>
        <w:t xml:space="preserve">. There are concerns from a few residents about the propriety of the accounting of the CSA funds. However, LAFCo’s five-year review of transactions </w:t>
      </w:r>
      <w:bookmarkStart w:id="18" w:name="_Hlk118104830"/>
      <w:r w:rsidRPr="002F58ED">
        <w:rPr>
          <w:rFonts w:ascii="Arial" w:eastAsia="Times New Roman" w:hAnsi="Arial" w:cs="Arial"/>
        </w:rPr>
        <w:t>confirmed that all revenues deposited to the CSA were solely used for CSA purposes and that all unexpended fund(s) at year-end remained in the CSA fund(s) to be available for future years</w:t>
      </w:r>
      <w:bookmarkEnd w:id="18"/>
      <w:r w:rsidRPr="002F58ED">
        <w:rPr>
          <w:rFonts w:ascii="Arial" w:eastAsia="Times New Roman" w:hAnsi="Arial" w:cs="Arial"/>
        </w:rPr>
        <w:t xml:space="preserve">. Prior to </w:t>
      </w:r>
      <w:r w:rsidR="00707085">
        <w:rPr>
          <w:rFonts w:ascii="Arial" w:eastAsia="Times New Roman" w:hAnsi="Arial" w:cs="Arial"/>
        </w:rPr>
        <w:t>2017</w:t>
      </w:r>
      <w:r w:rsidRPr="002F58ED">
        <w:rPr>
          <w:rFonts w:ascii="Arial" w:eastAsia="Times New Roman" w:hAnsi="Arial" w:cs="Arial"/>
        </w:rPr>
        <w:t xml:space="preserve">, El Macero CSA accounting transactions were recorded in a single fund. </w:t>
      </w:r>
      <w:r w:rsidR="00707085">
        <w:rPr>
          <w:rFonts w:ascii="Arial" w:eastAsia="Times New Roman" w:hAnsi="Arial" w:cs="Arial"/>
        </w:rPr>
        <w:t>Currently</w:t>
      </w:r>
      <w:r w:rsidRPr="002F58ED">
        <w:rPr>
          <w:rFonts w:ascii="Arial" w:eastAsia="Times New Roman" w:hAnsi="Arial" w:cs="Arial"/>
        </w:rPr>
        <w:t xml:space="preserve">, four funds </w:t>
      </w:r>
      <w:r w:rsidR="00707085">
        <w:rPr>
          <w:rFonts w:ascii="Arial" w:eastAsia="Times New Roman" w:hAnsi="Arial" w:cs="Arial"/>
        </w:rPr>
        <w:t xml:space="preserve">are used </w:t>
      </w:r>
      <w:r w:rsidRPr="002F58ED">
        <w:rPr>
          <w:rFonts w:ascii="Arial" w:eastAsia="Times New Roman" w:hAnsi="Arial" w:cs="Arial"/>
        </w:rPr>
        <w:t>to segregate revenues and expenditures by activity: Administration, Streets, Water</w:t>
      </w:r>
      <w:r w:rsidR="00707085">
        <w:rPr>
          <w:rFonts w:ascii="Arial" w:eastAsia="Times New Roman" w:hAnsi="Arial" w:cs="Arial"/>
        </w:rPr>
        <w:t>,</w:t>
      </w:r>
      <w:r w:rsidRPr="002F58ED">
        <w:rPr>
          <w:rFonts w:ascii="Arial" w:eastAsia="Times New Roman" w:hAnsi="Arial" w:cs="Arial"/>
        </w:rPr>
        <w:t xml:space="preserve"> and Sewer. This change in accounting provide</w:t>
      </w:r>
      <w:r w:rsidR="00707085">
        <w:rPr>
          <w:rFonts w:ascii="Arial" w:eastAsia="Times New Roman" w:hAnsi="Arial" w:cs="Arial"/>
        </w:rPr>
        <w:t>s</w:t>
      </w:r>
      <w:r w:rsidRPr="002F58ED">
        <w:rPr>
          <w:rFonts w:ascii="Arial" w:eastAsia="Times New Roman" w:hAnsi="Arial" w:cs="Arial"/>
        </w:rPr>
        <w:t xml:space="preserve"> more transparency and to simplify the reporting to the residents of El Macero. </w:t>
      </w:r>
    </w:p>
    <w:p w14:paraId="1B3FC810" w14:textId="0443D8DA" w:rsidR="007A665D" w:rsidRDefault="002F58ED" w:rsidP="007A665D">
      <w:pPr>
        <w:spacing w:after="120" w:line="240" w:lineRule="auto"/>
        <w:rPr>
          <w:rFonts w:ascii="Arial" w:eastAsia="Times New Roman" w:hAnsi="Arial" w:cs="Arial"/>
        </w:rPr>
      </w:pPr>
      <w:r w:rsidRPr="002F58ED">
        <w:rPr>
          <w:rFonts w:ascii="Arial" w:eastAsia="Times New Roman" w:hAnsi="Arial" w:cs="Arial"/>
        </w:rPr>
        <w:t xml:space="preserve">Revenues have generally kept pace with on-going operational expenditures. The rate/fee is sufficient to fund an adequate level of service. The water and sewer rates include an amount for system maintenance and replacement as needed. Excluding water usage fees, ongoing expenditures have remained relatively flat. The cost of residential water provided by the City of Davis has increased </w:t>
      </w:r>
      <w:r w:rsidR="007A665D">
        <w:rPr>
          <w:rFonts w:ascii="Arial" w:eastAsia="Times New Roman" w:hAnsi="Arial" w:cs="Arial"/>
        </w:rPr>
        <w:t xml:space="preserve">2018 – 2021, but then went down in 2022 (keeping in mind water is currently paid one year in arrears). </w:t>
      </w:r>
      <w:r w:rsidR="007A665D" w:rsidRPr="007A665D">
        <w:rPr>
          <w:rFonts w:ascii="Arial" w:eastAsia="Times New Roman" w:hAnsi="Arial" w:cs="Arial"/>
        </w:rPr>
        <w:t xml:space="preserve">Over 2018-2022, 66% of total expenditures are water related, 16% streets (maintenance, landscaping, and </w:t>
      </w:r>
      <w:r w:rsidR="00C87135">
        <w:rPr>
          <w:rFonts w:ascii="Arial" w:eastAsia="Times New Roman" w:hAnsi="Arial" w:cs="Arial"/>
        </w:rPr>
        <w:t>sweeping</w:t>
      </w:r>
      <w:r w:rsidR="007A665D" w:rsidRPr="007A665D">
        <w:rPr>
          <w:rFonts w:ascii="Arial" w:eastAsia="Times New Roman" w:hAnsi="Arial" w:cs="Arial"/>
        </w:rPr>
        <w:t>), 14% wastewater, and 4% administration. The cost of legal services is significant due to citizen Public Records Act requests and costs defending a lawsuit</w:t>
      </w:r>
      <w:r w:rsidR="005C2F21" w:rsidRPr="005C2F21">
        <w:t xml:space="preserve"> </w:t>
      </w:r>
      <w:r w:rsidR="005C2F21" w:rsidRPr="005C2F21">
        <w:rPr>
          <w:rFonts w:ascii="Arial" w:eastAsia="Times New Roman" w:hAnsi="Arial" w:cs="Arial"/>
        </w:rPr>
        <w:t>but are expected to decrease in the current fiscal year</w:t>
      </w:r>
      <w:r w:rsidR="00C30626">
        <w:rPr>
          <w:rFonts w:ascii="Arial" w:eastAsia="Times New Roman" w:hAnsi="Arial" w:cs="Arial"/>
        </w:rPr>
        <w:t>.</w:t>
      </w:r>
    </w:p>
    <w:p w14:paraId="309AA44F" w14:textId="06B634B5" w:rsidR="007A665D" w:rsidRPr="007A665D" w:rsidRDefault="007A665D" w:rsidP="007A665D">
      <w:pPr>
        <w:spacing w:after="120" w:line="240" w:lineRule="auto"/>
        <w:rPr>
          <w:rFonts w:ascii="Arial" w:eastAsia="Times New Roman" w:hAnsi="Arial" w:cs="Arial"/>
          <w:b/>
          <w:bCs/>
        </w:rPr>
      </w:pPr>
      <w:r w:rsidRPr="007A665D">
        <w:rPr>
          <w:rFonts w:ascii="Arial" w:eastAsia="Times New Roman" w:hAnsi="Arial" w:cs="Arial"/>
          <w:b/>
          <w:bCs/>
        </w:rPr>
        <w:t>Recommendation(s)</w:t>
      </w:r>
      <w:r>
        <w:rPr>
          <w:rFonts w:ascii="Arial" w:eastAsia="Times New Roman" w:hAnsi="Arial" w:cs="Arial"/>
          <w:b/>
          <w:bCs/>
        </w:rPr>
        <w:t>:</w:t>
      </w:r>
    </w:p>
    <w:p w14:paraId="4CA6545E" w14:textId="1ED3D8B2" w:rsidR="007A665D" w:rsidRDefault="007A665D" w:rsidP="007A665D">
      <w:pPr>
        <w:spacing w:after="120" w:line="240" w:lineRule="auto"/>
        <w:rPr>
          <w:rFonts w:ascii="Arial" w:eastAsia="Times New Roman" w:hAnsi="Arial" w:cs="Arial"/>
        </w:rPr>
      </w:pPr>
      <w:r>
        <w:rPr>
          <w:rFonts w:ascii="Arial" w:eastAsia="Times New Roman" w:hAnsi="Arial" w:cs="Arial"/>
        </w:rPr>
        <w:t xml:space="preserve">None. </w:t>
      </w: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6"/>
        <w:gridCol w:w="1152"/>
        <w:gridCol w:w="1152"/>
        <w:gridCol w:w="1154"/>
      </w:tblGrid>
      <w:tr w:rsidR="00AE605B" w:rsidRPr="00AE605B" w14:paraId="56D3B273" w14:textId="77777777" w:rsidTr="00184588">
        <w:trPr>
          <w:cantSplit/>
        </w:trPr>
        <w:tc>
          <w:tcPr>
            <w:tcW w:w="9504" w:type="dxa"/>
            <w:gridSpan w:val="4"/>
            <w:tcBorders>
              <w:top w:val="single" w:sz="12" w:space="0" w:color="auto"/>
            </w:tcBorders>
            <w:shd w:val="clear" w:color="auto" w:fill="D9D9D9"/>
          </w:tcPr>
          <w:p w14:paraId="4C38235D" w14:textId="529B4A1E" w:rsidR="00AE605B" w:rsidRPr="005D4AC7" w:rsidRDefault="00AE605B" w:rsidP="007A665D">
            <w:pPr>
              <w:pStyle w:val="Heading3"/>
              <w:keepNext/>
              <w:contextualSpacing w:val="0"/>
              <w:outlineLvl w:val="2"/>
              <w:rPr>
                <w:color w:val="auto"/>
              </w:rPr>
            </w:pPr>
            <w:bookmarkStart w:id="19" w:name="_Toc108186091"/>
            <w:r w:rsidRPr="005D4AC7">
              <w:rPr>
                <w:color w:val="auto"/>
              </w:rPr>
              <w:t>5.</w:t>
            </w:r>
            <w:r w:rsidR="005D4AC7">
              <w:rPr>
                <w:color w:val="auto"/>
              </w:rPr>
              <w:t xml:space="preserve"> </w:t>
            </w:r>
            <w:r w:rsidR="005D4AC7" w:rsidRPr="005D4AC7">
              <w:rPr>
                <w:color w:val="auto"/>
              </w:rPr>
              <w:t>Shared Services and Facilities</w:t>
            </w:r>
            <w:bookmarkEnd w:id="19"/>
          </w:p>
          <w:p w14:paraId="20B18F50" w14:textId="77777777" w:rsidR="00AE605B" w:rsidRPr="00AE605B" w:rsidRDefault="00AE605B" w:rsidP="007A665D">
            <w:pPr>
              <w:keepNext/>
              <w:spacing w:after="120" w:line="240" w:lineRule="auto"/>
              <w:rPr>
                <w:rFonts w:ascii="Arial" w:hAnsi="Arial" w:cs="Arial"/>
                <w:b/>
                <w:i/>
                <w:sz w:val="19"/>
                <w:szCs w:val="19"/>
              </w:rPr>
            </w:pPr>
            <w:r w:rsidRPr="00AE605B">
              <w:rPr>
                <w:rFonts w:ascii="Arial" w:hAnsi="Arial" w:cs="Arial"/>
                <w:sz w:val="19"/>
                <w:szCs w:val="19"/>
              </w:rPr>
              <w:t>Status of, and opportunities for, shared facilities.</w:t>
            </w:r>
          </w:p>
        </w:tc>
      </w:tr>
      <w:tr w:rsidR="008F118C" w:rsidRPr="00AE605B" w14:paraId="24ADB625" w14:textId="77777777" w:rsidTr="00184588">
        <w:trPr>
          <w:cantSplit/>
          <w:trHeight w:val="144"/>
        </w:trPr>
        <w:tc>
          <w:tcPr>
            <w:tcW w:w="6046" w:type="dxa"/>
            <w:tcBorders>
              <w:bottom w:val="single" w:sz="12" w:space="0" w:color="auto"/>
            </w:tcBorders>
            <w:shd w:val="clear" w:color="auto" w:fill="D9D9D9"/>
            <w:vAlign w:val="bottom"/>
          </w:tcPr>
          <w:p w14:paraId="1271BD12" w14:textId="77777777" w:rsidR="008F118C" w:rsidRPr="00AE605B" w:rsidRDefault="008F118C" w:rsidP="007A665D">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306F2678" w14:textId="38037686"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bottom w:val="single" w:sz="12" w:space="0" w:color="auto"/>
            </w:tcBorders>
            <w:shd w:val="clear" w:color="auto" w:fill="D9D9D9"/>
            <w:vAlign w:val="bottom"/>
          </w:tcPr>
          <w:p w14:paraId="332395A6" w14:textId="6ACB2CCC"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4" w:type="dxa"/>
            <w:tcBorders>
              <w:bottom w:val="single" w:sz="12" w:space="0" w:color="auto"/>
            </w:tcBorders>
            <w:shd w:val="clear" w:color="auto" w:fill="D9D9D9"/>
            <w:vAlign w:val="bottom"/>
          </w:tcPr>
          <w:p w14:paraId="7730C2CA" w14:textId="1E5567EA"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AE605B" w:rsidRPr="00AE605B" w14:paraId="1D286F89" w14:textId="77777777" w:rsidTr="009762DA">
        <w:trPr>
          <w:cantSplit/>
        </w:trPr>
        <w:tc>
          <w:tcPr>
            <w:tcW w:w="6046" w:type="dxa"/>
            <w:tcBorders>
              <w:top w:val="single" w:sz="4" w:space="0" w:color="auto"/>
              <w:bottom w:val="single" w:sz="4" w:space="0" w:color="auto"/>
            </w:tcBorders>
            <w:vAlign w:val="center"/>
          </w:tcPr>
          <w:p w14:paraId="37317F89" w14:textId="29D46E55" w:rsidR="00AE605B" w:rsidRPr="00AE605B" w:rsidRDefault="00AE605B" w:rsidP="007A665D">
            <w:pPr>
              <w:keepNext/>
              <w:numPr>
                <w:ilvl w:val="0"/>
                <w:numId w:val="11"/>
              </w:numPr>
              <w:spacing w:before="60" w:after="60" w:line="240" w:lineRule="auto"/>
              <w:rPr>
                <w:rFonts w:ascii="Arial" w:hAnsi="Arial" w:cs="Arial"/>
                <w:i/>
                <w:sz w:val="19"/>
                <w:szCs w:val="19"/>
              </w:rPr>
            </w:pPr>
            <w:r w:rsidRPr="00AE605B">
              <w:rPr>
                <w:rFonts w:ascii="Arial" w:hAnsi="Arial" w:cs="Arial"/>
                <w:i/>
                <w:sz w:val="19"/>
                <w:szCs w:val="19"/>
              </w:rPr>
              <w:t xml:space="preserve">Are there any opportunities for the organization to share services or facilities with neighboring, </w:t>
            </w:r>
            <w:r w:rsidR="00D31B48" w:rsidRPr="00AE605B">
              <w:rPr>
                <w:rFonts w:ascii="Arial" w:hAnsi="Arial" w:cs="Arial"/>
                <w:i/>
                <w:sz w:val="19"/>
                <w:szCs w:val="19"/>
              </w:rPr>
              <w:t>overlapping,</w:t>
            </w:r>
            <w:r w:rsidRPr="00AE605B">
              <w:rPr>
                <w:rFonts w:ascii="Arial" w:hAnsi="Arial" w:cs="Arial"/>
                <w:i/>
                <w:sz w:val="19"/>
                <w:szCs w:val="19"/>
              </w:rPr>
              <w:t xml:space="preserve"> or other organizations that are not currently being utilized?</w:t>
            </w:r>
          </w:p>
        </w:tc>
        <w:tc>
          <w:tcPr>
            <w:tcW w:w="1152" w:type="dxa"/>
            <w:tcBorders>
              <w:top w:val="single" w:sz="4" w:space="0" w:color="auto"/>
              <w:bottom w:val="single" w:sz="4" w:space="0" w:color="auto"/>
            </w:tcBorders>
            <w:vAlign w:val="center"/>
          </w:tcPr>
          <w:p w14:paraId="00F6794C"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0A9819E0"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4" w:type="dxa"/>
            <w:tcBorders>
              <w:top w:val="single" w:sz="4" w:space="0" w:color="auto"/>
              <w:bottom w:val="single" w:sz="4" w:space="0" w:color="auto"/>
            </w:tcBorders>
            <w:vAlign w:val="center"/>
          </w:tcPr>
          <w:p w14:paraId="082561DF" w14:textId="76C59371" w:rsidR="00AE605B" w:rsidRPr="00AE605B" w:rsidRDefault="00CD3321"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0312B79C" w14:textId="77777777" w:rsidR="007B22E6" w:rsidRPr="00AE605B" w:rsidRDefault="007B22E6" w:rsidP="00E669DD">
      <w:pPr>
        <w:spacing w:after="120" w:line="240" w:lineRule="auto"/>
        <w:rPr>
          <w:rFonts w:ascii="Arial" w:eastAsia="Times New Roman" w:hAnsi="Arial" w:cs="Arial"/>
          <w:b/>
          <w:i/>
        </w:rPr>
      </w:pPr>
      <w:r w:rsidRPr="00AE605B">
        <w:rPr>
          <w:rFonts w:ascii="Arial" w:eastAsia="Times New Roman" w:hAnsi="Arial" w:cs="Arial"/>
          <w:b/>
        </w:rPr>
        <w:t xml:space="preserve">Discussion: </w:t>
      </w:r>
    </w:p>
    <w:p w14:paraId="001A917A" w14:textId="536DDB78" w:rsidR="007B22E6" w:rsidRDefault="00CD3321" w:rsidP="00E669DD">
      <w:pPr>
        <w:spacing w:after="120" w:line="240" w:lineRule="auto"/>
        <w:ind w:left="360" w:hanging="360"/>
        <w:rPr>
          <w:rFonts w:ascii="Arial" w:eastAsia="Times New Roman" w:hAnsi="Arial" w:cs="Arial"/>
        </w:rPr>
      </w:pPr>
      <w:r>
        <w:rPr>
          <w:rFonts w:ascii="Arial" w:eastAsia="Times New Roman" w:hAnsi="Arial" w:cs="Arial"/>
        </w:rPr>
        <w:t>None.</w:t>
      </w:r>
    </w:p>
    <w:p w14:paraId="7E4755FD" w14:textId="349B905B" w:rsidR="00AE605B" w:rsidRPr="00AE605B" w:rsidRDefault="00AE605B" w:rsidP="00E669DD">
      <w:pPr>
        <w:spacing w:after="120" w:line="240" w:lineRule="auto"/>
        <w:ind w:left="360" w:hanging="360"/>
        <w:rPr>
          <w:rFonts w:ascii="Arial" w:eastAsia="Times New Roman" w:hAnsi="Arial" w:cs="Arial"/>
          <w:b/>
          <w:i/>
        </w:rPr>
      </w:pPr>
      <w:r w:rsidRPr="00AE605B">
        <w:rPr>
          <w:rFonts w:ascii="Arial" w:eastAsia="Times New Roman" w:hAnsi="Arial" w:cs="Arial"/>
          <w:b/>
        </w:rPr>
        <w:t>Shared Services MSR Determination</w:t>
      </w:r>
      <w:r w:rsidR="007B22E6">
        <w:rPr>
          <w:rFonts w:ascii="Arial" w:eastAsia="Times New Roman" w:hAnsi="Arial" w:cs="Arial"/>
          <w:b/>
        </w:rPr>
        <w:t>:</w:t>
      </w:r>
    </w:p>
    <w:p w14:paraId="2168E70E" w14:textId="07C94FC7" w:rsidR="002F58ED" w:rsidRPr="002F58ED" w:rsidRDefault="002F58ED" w:rsidP="002F58ED">
      <w:pPr>
        <w:keepNext/>
        <w:spacing w:after="120" w:line="240" w:lineRule="auto"/>
        <w:rPr>
          <w:rFonts w:ascii="Arial" w:eastAsia="Times New Roman" w:hAnsi="Arial" w:cs="Arial"/>
        </w:rPr>
      </w:pPr>
      <w:r w:rsidRPr="002F58ED">
        <w:rPr>
          <w:rFonts w:ascii="Arial" w:eastAsia="Times New Roman" w:hAnsi="Arial" w:cs="Arial"/>
        </w:rPr>
        <w:t xml:space="preserve">The </w:t>
      </w:r>
      <w:r>
        <w:rPr>
          <w:rFonts w:ascii="Arial" w:eastAsia="Times New Roman" w:hAnsi="Arial" w:cs="Arial"/>
        </w:rPr>
        <w:t xml:space="preserve">El Macero </w:t>
      </w:r>
      <w:r w:rsidRPr="002F58ED">
        <w:rPr>
          <w:rFonts w:ascii="Arial" w:eastAsia="Times New Roman" w:hAnsi="Arial" w:cs="Arial"/>
        </w:rPr>
        <w:t>CSA already obtains shared water and sewer services provided by the City of Davis</w:t>
      </w:r>
      <w:r w:rsidR="005D48A6">
        <w:rPr>
          <w:rFonts w:ascii="Arial" w:eastAsia="Times New Roman" w:hAnsi="Arial" w:cs="Arial"/>
        </w:rPr>
        <w:t xml:space="preserve">. </w:t>
      </w:r>
      <w:r w:rsidRPr="002F58ED">
        <w:rPr>
          <w:rFonts w:ascii="Arial" w:eastAsia="Times New Roman" w:hAnsi="Arial" w:cs="Arial"/>
        </w:rPr>
        <w:t>Street improvements/maintenance</w:t>
      </w:r>
      <w:r w:rsidR="00C87135">
        <w:rPr>
          <w:rFonts w:ascii="Arial" w:eastAsia="Times New Roman" w:hAnsi="Arial" w:cs="Arial"/>
        </w:rPr>
        <w:t xml:space="preserve"> and landscaping services</w:t>
      </w:r>
      <w:r w:rsidRPr="002F58ED">
        <w:rPr>
          <w:rFonts w:ascii="Arial" w:eastAsia="Times New Roman" w:hAnsi="Arial" w:cs="Arial"/>
        </w:rPr>
        <w:t xml:space="preserve"> is contracted out on a per project basis by the Yolo County Department of Community Services and uses pooled purchasing wherever possible.</w:t>
      </w:r>
    </w:p>
    <w:p w14:paraId="1371924F" w14:textId="77777777" w:rsidR="0049789D" w:rsidRPr="008F118C" w:rsidRDefault="0049789D" w:rsidP="00652EBE">
      <w:pPr>
        <w:keepNext/>
        <w:spacing w:after="120" w:line="240" w:lineRule="auto"/>
        <w:ind w:left="360" w:hanging="360"/>
        <w:rPr>
          <w:rFonts w:ascii="Arial" w:eastAsia="Times New Roman" w:hAnsi="Arial" w:cs="Arial"/>
          <w:b/>
          <w:bCs/>
        </w:rPr>
      </w:pPr>
      <w:r w:rsidRPr="008F118C">
        <w:rPr>
          <w:rFonts w:ascii="Arial" w:eastAsia="Times New Roman" w:hAnsi="Arial" w:cs="Arial"/>
          <w:b/>
          <w:bCs/>
        </w:rPr>
        <w:t>Recommendation(s):</w:t>
      </w:r>
    </w:p>
    <w:p w14:paraId="0706948E" w14:textId="77777777" w:rsidR="0049789D" w:rsidRPr="00AE605B" w:rsidRDefault="0049789D" w:rsidP="00652EBE">
      <w:pPr>
        <w:keepNext/>
        <w:spacing w:after="120" w:line="240" w:lineRule="auto"/>
        <w:ind w:left="360" w:hanging="360"/>
        <w:rPr>
          <w:rFonts w:ascii="Arial" w:eastAsia="Times New Roman" w:hAnsi="Arial" w:cs="Arial"/>
        </w:rPr>
      </w:pPr>
      <w:r>
        <w:rPr>
          <w:rFonts w:ascii="Arial" w:eastAsia="Times New Roman" w:hAnsi="Arial" w:cs="Arial"/>
        </w:rPr>
        <w:t xml:space="preserve">None. </w:t>
      </w:r>
    </w:p>
    <w:p w14:paraId="1802246D" w14:textId="77777777" w:rsidR="00AE605B" w:rsidRPr="00AE605B" w:rsidRDefault="00AE605B" w:rsidP="00E669DD">
      <w:pPr>
        <w:spacing w:after="120" w:line="240" w:lineRule="auto"/>
        <w:rPr>
          <w:rFonts w:ascii="Arial" w:eastAsia="Times New Roman" w:hAnsi="Arial" w:cs="Arial"/>
        </w:rPr>
      </w:pPr>
    </w:p>
    <w:tbl>
      <w:tblPr>
        <w:tblStyle w:val="TableGrid2"/>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1152"/>
        <w:gridCol w:w="18"/>
        <w:gridCol w:w="1134"/>
        <w:gridCol w:w="39"/>
        <w:gridCol w:w="1113"/>
        <w:gridCol w:w="33"/>
        <w:gridCol w:w="9"/>
      </w:tblGrid>
      <w:tr w:rsidR="00AE605B" w:rsidRPr="00AE605B" w14:paraId="5A26380F" w14:textId="77777777" w:rsidTr="008F118C">
        <w:trPr>
          <w:gridAfter w:val="1"/>
          <w:wAfter w:w="9" w:type="dxa"/>
          <w:cantSplit/>
        </w:trPr>
        <w:tc>
          <w:tcPr>
            <w:tcW w:w="9609" w:type="dxa"/>
            <w:gridSpan w:val="7"/>
            <w:tcBorders>
              <w:top w:val="single" w:sz="12" w:space="0" w:color="auto"/>
            </w:tcBorders>
            <w:shd w:val="clear" w:color="auto" w:fill="D9D9D9"/>
          </w:tcPr>
          <w:p w14:paraId="253C23BE" w14:textId="71675A2E" w:rsidR="00AE605B" w:rsidRPr="005D4AC7" w:rsidRDefault="00AE605B" w:rsidP="00872A40">
            <w:pPr>
              <w:pStyle w:val="Heading3"/>
              <w:keepNext/>
              <w:outlineLvl w:val="2"/>
              <w:rPr>
                <w:color w:val="auto"/>
              </w:rPr>
            </w:pPr>
            <w:bookmarkStart w:id="20" w:name="_Toc108186092"/>
            <w:r w:rsidRPr="005D4AC7">
              <w:rPr>
                <w:color w:val="auto"/>
              </w:rPr>
              <w:lastRenderedPageBreak/>
              <w:t>6. A</w:t>
            </w:r>
            <w:r w:rsidR="005D4AC7" w:rsidRPr="005D4AC7">
              <w:rPr>
                <w:color w:val="auto"/>
              </w:rPr>
              <w:t>ccountability, Structure, and Efficiencies</w:t>
            </w:r>
            <w:bookmarkEnd w:id="20"/>
          </w:p>
          <w:p w14:paraId="0F340811" w14:textId="77777777" w:rsidR="00AE605B" w:rsidRPr="00AE605B" w:rsidRDefault="00AE605B" w:rsidP="00872A40">
            <w:pPr>
              <w:keepNext/>
              <w:spacing w:after="120" w:line="240" w:lineRule="auto"/>
              <w:rPr>
                <w:rFonts w:ascii="Arial" w:hAnsi="Arial" w:cs="Arial"/>
                <w:b/>
                <w:i/>
                <w:sz w:val="19"/>
                <w:szCs w:val="19"/>
              </w:rPr>
            </w:pPr>
            <w:r w:rsidRPr="00AE605B">
              <w:rPr>
                <w:rFonts w:ascii="Arial" w:hAnsi="Arial" w:cs="Arial"/>
                <w:sz w:val="19"/>
                <w:szCs w:val="19"/>
              </w:rPr>
              <w:t>Accountability for community service needs, including governmental structure and operational efficiencies.</w:t>
            </w:r>
          </w:p>
        </w:tc>
      </w:tr>
      <w:tr w:rsidR="008F118C" w:rsidRPr="00AE605B" w14:paraId="21CD6AFE" w14:textId="77777777" w:rsidTr="008F118C">
        <w:trPr>
          <w:gridAfter w:val="2"/>
          <w:wAfter w:w="42" w:type="dxa"/>
          <w:cantSplit/>
          <w:trHeight w:val="144"/>
        </w:trPr>
        <w:tc>
          <w:tcPr>
            <w:tcW w:w="6120" w:type="dxa"/>
            <w:tcBorders>
              <w:bottom w:val="single" w:sz="12" w:space="0" w:color="auto"/>
            </w:tcBorders>
            <w:shd w:val="clear" w:color="auto" w:fill="D9D9D9"/>
            <w:vAlign w:val="bottom"/>
          </w:tcPr>
          <w:p w14:paraId="07418705" w14:textId="77777777" w:rsidR="008F118C" w:rsidRPr="00AE605B" w:rsidRDefault="008F118C" w:rsidP="00872A40">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77E5900C" w14:textId="532D13F8"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gridSpan w:val="2"/>
            <w:tcBorders>
              <w:bottom w:val="single" w:sz="12" w:space="0" w:color="auto"/>
            </w:tcBorders>
            <w:shd w:val="clear" w:color="auto" w:fill="D9D9D9"/>
            <w:vAlign w:val="bottom"/>
          </w:tcPr>
          <w:p w14:paraId="3CD41645" w14:textId="2A8F0C21"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2" w:type="dxa"/>
            <w:gridSpan w:val="2"/>
            <w:tcBorders>
              <w:bottom w:val="single" w:sz="12" w:space="0" w:color="auto"/>
            </w:tcBorders>
            <w:shd w:val="clear" w:color="auto" w:fill="D9D9D9"/>
            <w:vAlign w:val="bottom"/>
          </w:tcPr>
          <w:p w14:paraId="2F671CED" w14:textId="0B120E4F"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AE605B" w:rsidRPr="00AE605B" w14:paraId="7E16F7D4" w14:textId="77777777" w:rsidTr="009762DA">
        <w:trPr>
          <w:cantSplit/>
        </w:trPr>
        <w:tc>
          <w:tcPr>
            <w:tcW w:w="6120" w:type="dxa"/>
            <w:tcBorders>
              <w:top w:val="single" w:sz="4" w:space="0" w:color="auto"/>
              <w:bottom w:val="single" w:sz="4" w:space="0" w:color="auto"/>
            </w:tcBorders>
            <w:vAlign w:val="center"/>
          </w:tcPr>
          <w:p w14:paraId="608E6345" w14:textId="77777777" w:rsidR="00AE605B" w:rsidRPr="00AE605B" w:rsidRDefault="00AE605B" w:rsidP="00872A40">
            <w:pPr>
              <w:keepNext/>
              <w:numPr>
                <w:ilvl w:val="0"/>
                <w:numId w:val="10"/>
              </w:numPr>
              <w:spacing w:before="60" w:after="60" w:line="240" w:lineRule="auto"/>
              <w:rPr>
                <w:rFonts w:ascii="Arial" w:hAnsi="Arial" w:cs="Arial"/>
                <w:i/>
                <w:sz w:val="19"/>
                <w:szCs w:val="19"/>
              </w:rPr>
            </w:pPr>
            <w:bookmarkStart w:id="21" w:name="_Hlk113964337"/>
            <w:r w:rsidRPr="00AE605B">
              <w:rPr>
                <w:rFonts w:ascii="Arial" w:hAnsi="Arial" w:cs="Arial"/>
                <w:i/>
                <w:sz w:val="19"/>
                <w:szCs w:val="19"/>
              </w:rPr>
              <w:t>Are there any recommended changes to the organization’s governmental structure or operations that will increase accountability and efficiency (</w:t>
            </w:r>
            <w:proofErr w:type="gramStart"/>
            <w:r w:rsidRPr="00AE605B">
              <w:rPr>
                <w:rFonts w:ascii="Arial" w:hAnsi="Arial" w:cs="Arial"/>
                <w:i/>
                <w:sz w:val="19"/>
                <w:szCs w:val="19"/>
              </w:rPr>
              <w:t>i.e.</w:t>
            </w:r>
            <w:proofErr w:type="gramEnd"/>
            <w:r w:rsidRPr="00AE605B">
              <w:rPr>
                <w:rFonts w:ascii="Arial" w:hAnsi="Arial" w:cs="Arial"/>
                <w:i/>
                <w:sz w:val="19"/>
                <w:szCs w:val="19"/>
              </w:rPr>
              <w:t xml:space="preserve"> overlapping boundaries that confuse the public, service inefficiencies, and/or higher costs/rates)?</w:t>
            </w:r>
          </w:p>
        </w:tc>
        <w:tc>
          <w:tcPr>
            <w:tcW w:w="1170" w:type="dxa"/>
            <w:gridSpan w:val="2"/>
            <w:tcBorders>
              <w:top w:val="single" w:sz="4" w:space="0" w:color="auto"/>
              <w:bottom w:val="single" w:sz="4" w:space="0" w:color="auto"/>
            </w:tcBorders>
            <w:vAlign w:val="center"/>
          </w:tcPr>
          <w:p w14:paraId="51833577" w14:textId="09C16CAA" w:rsidR="00AE605B" w:rsidRPr="00AE605B" w:rsidRDefault="009C3F4E"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73" w:type="dxa"/>
            <w:gridSpan w:val="2"/>
            <w:tcBorders>
              <w:top w:val="single" w:sz="4" w:space="0" w:color="auto"/>
              <w:bottom w:val="single" w:sz="4" w:space="0" w:color="auto"/>
            </w:tcBorders>
            <w:vAlign w:val="center"/>
          </w:tcPr>
          <w:p w14:paraId="31A7098C" w14:textId="3FE5F8DD" w:rsidR="00AE605B" w:rsidRPr="00AE605B" w:rsidRDefault="006927EE"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5" w:type="dxa"/>
            <w:gridSpan w:val="3"/>
            <w:tcBorders>
              <w:top w:val="single" w:sz="4" w:space="0" w:color="auto"/>
              <w:bottom w:val="single" w:sz="4" w:space="0" w:color="auto"/>
            </w:tcBorders>
            <w:vAlign w:val="center"/>
          </w:tcPr>
          <w:p w14:paraId="7026083D" w14:textId="5B82746B" w:rsidR="00AE605B" w:rsidRPr="00AE605B" w:rsidRDefault="006927EE"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AE605B" w:rsidRPr="00AE605B" w14:paraId="16763E50" w14:textId="77777777" w:rsidTr="009762DA">
        <w:trPr>
          <w:cantSplit/>
        </w:trPr>
        <w:tc>
          <w:tcPr>
            <w:tcW w:w="6120" w:type="dxa"/>
            <w:tcBorders>
              <w:top w:val="single" w:sz="4" w:space="0" w:color="auto"/>
              <w:bottom w:val="single" w:sz="4" w:space="0" w:color="auto"/>
            </w:tcBorders>
            <w:vAlign w:val="center"/>
          </w:tcPr>
          <w:p w14:paraId="522E80F7" w14:textId="035423FD" w:rsidR="00AE605B" w:rsidRPr="00AE605B" w:rsidRDefault="00F376C0" w:rsidP="009762DA">
            <w:pPr>
              <w:numPr>
                <w:ilvl w:val="0"/>
                <w:numId w:val="10"/>
              </w:numPr>
              <w:spacing w:before="60" w:after="60" w:line="240" w:lineRule="auto"/>
              <w:rPr>
                <w:rFonts w:ascii="Arial" w:hAnsi="Arial" w:cs="Arial"/>
                <w:i/>
                <w:sz w:val="19"/>
                <w:szCs w:val="19"/>
              </w:rPr>
            </w:pPr>
            <w:r w:rsidRPr="00AE605B">
              <w:rPr>
                <w:rFonts w:ascii="Arial" w:hAnsi="Arial" w:cs="Arial"/>
                <w:i/>
                <w:sz w:val="19"/>
                <w:szCs w:val="19"/>
              </w:rPr>
              <w:t>Does the agency need to secure independent audits of financial reports that meet California State Controller requirements?</w:t>
            </w:r>
            <w:r w:rsidRPr="00AE605B">
              <w:rPr>
                <w:rFonts w:ascii="Century Gothic" w:hAnsi="Century Gothic" w:cs="Times New Roman"/>
                <w:i/>
                <w:sz w:val="19"/>
                <w:szCs w:val="19"/>
              </w:rPr>
              <w:t xml:space="preserve"> </w:t>
            </w:r>
            <w:hyperlink r:id="rId11" w:history="1"/>
            <w:r w:rsidRPr="00AE605B">
              <w:rPr>
                <w:rFonts w:ascii="Arial" w:hAnsi="Arial" w:cs="Arial"/>
                <w:i/>
                <w:sz w:val="19"/>
                <w:szCs w:val="19"/>
              </w:rPr>
              <w:t xml:space="preserve">Are the same auditors used for more than six years? Are audit results </w:t>
            </w:r>
            <w:r w:rsidRPr="00AE605B">
              <w:rPr>
                <w:rFonts w:ascii="Arial" w:hAnsi="Arial" w:cs="Arial"/>
                <w:i/>
                <w:sz w:val="19"/>
                <w:szCs w:val="19"/>
                <w:u w:val="single"/>
              </w:rPr>
              <w:t>not</w:t>
            </w:r>
            <w:r w:rsidRPr="00AE605B">
              <w:rPr>
                <w:rFonts w:ascii="Arial" w:hAnsi="Arial" w:cs="Arial"/>
                <w:i/>
                <w:sz w:val="19"/>
                <w:szCs w:val="19"/>
              </w:rPr>
              <w:t xml:space="preserve"> reviewed in an open meeting?</w:t>
            </w:r>
          </w:p>
        </w:tc>
        <w:tc>
          <w:tcPr>
            <w:tcW w:w="1170" w:type="dxa"/>
            <w:gridSpan w:val="2"/>
            <w:tcBorders>
              <w:top w:val="single" w:sz="4" w:space="0" w:color="auto"/>
              <w:bottom w:val="single" w:sz="4" w:space="0" w:color="auto"/>
            </w:tcBorders>
            <w:shd w:val="clear" w:color="auto" w:fill="auto"/>
            <w:vAlign w:val="center"/>
          </w:tcPr>
          <w:p w14:paraId="5D1674CC"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73" w:type="dxa"/>
            <w:gridSpan w:val="2"/>
            <w:tcBorders>
              <w:top w:val="single" w:sz="4" w:space="0" w:color="auto"/>
              <w:bottom w:val="single" w:sz="4" w:space="0" w:color="auto"/>
            </w:tcBorders>
            <w:shd w:val="clear" w:color="auto" w:fill="auto"/>
            <w:vAlign w:val="center"/>
          </w:tcPr>
          <w:p w14:paraId="418B939F"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5" w:type="dxa"/>
            <w:gridSpan w:val="3"/>
            <w:tcBorders>
              <w:top w:val="single" w:sz="4" w:space="0" w:color="auto"/>
              <w:bottom w:val="single" w:sz="4" w:space="0" w:color="auto"/>
            </w:tcBorders>
            <w:shd w:val="clear" w:color="auto" w:fill="auto"/>
            <w:vAlign w:val="center"/>
          </w:tcPr>
          <w:p w14:paraId="22AB089D" w14:textId="1C2FE974" w:rsidR="00AE605B" w:rsidRPr="00AE605B" w:rsidRDefault="00615AC8"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F376C0" w:rsidRPr="00AE605B" w14:paraId="276C98B4" w14:textId="77777777" w:rsidTr="009762DA">
        <w:trPr>
          <w:cantSplit/>
        </w:trPr>
        <w:tc>
          <w:tcPr>
            <w:tcW w:w="6120" w:type="dxa"/>
            <w:tcBorders>
              <w:top w:val="single" w:sz="4" w:space="0" w:color="auto"/>
              <w:bottom w:val="single" w:sz="4" w:space="0" w:color="auto"/>
            </w:tcBorders>
            <w:vAlign w:val="center"/>
          </w:tcPr>
          <w:p w14:paraId="56366F49" w14:textId="43D4BA51" w:rsidR="00F376C0" w:rsidRPr="00AE605B" w:rsidRDefault="00F376C0" w:rsidP="00F376C0">
            <w:pPr>
              <w:numPr>
                <w:ilvl w:val="0"/>
                <w:numId w:val="10"/>
              </w:numPr>
              <w:spacing w:before="60" w:after="60" w:line="240" w:lineRule="auto"/>
              <w:rPr>
                <w:rFonts w:ascii="Arial" w:hAnsi="Arial" w:cs="Arial"/>
                <w:i/>
                <w:sz w:val="19"/>
                <w:szCs w:val="19"/>
              </w:rPr>
            </w:pPr>
            <w:r w:rsidRPr="00AE605B">
              <w:rPr>
                <w:rFonts w:ascii="Arial" w:hAnsi="Arial" w:cs="Arial"/>
                <w:i/>
                <w:sz w:val="19"/>
                <w:szCs w:val="19"/>
              </w:rPr>
              <w:t>Are there any issues with filling board vacancies and maintaining board members? Is there a lack of board member training regarding the organization’s program requirements and financial management?</w:t>
            </w:r>
          </w:p>
        </w:tc>
        <w:tc>
          <w:tcPr>
            <w:tcW w:w="1170" w:type="dxa"/>
            <w:gridSpan w:val="2"/>
            <w:tcBorders>
              <w:top w:val="single" w:sz="4" w:space="0" w:color="auto"/>
              <w:bottom w:val="single" w:sz="4" w:space="0" w:color="auto"/>
            </w:tcBorders>
            <w:shd w:val="clear" w:color="auto" w:fill="auto"/>
            <w:vAlign w:val="center"/>
          </w:tcPr>
          <w:p w14:paraId="015822D5" w14:textId="18496559" w:rsidR="00F376C0" w:rsidRPr="00AE605B" w:rsidRDefault="00F376C0" w:rsidP="00F376C0">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73" w:type="dxa"/>
            <w:gridSpan w:val="2"/>
            <w:tcBorders>
              <w:top w:val="single" w:sz="4" w:space="0" w:color="auto"/>
              <w:bottom w:val="single" w:sz="4" w:space="0" w:color="auto"/>
            </w:tcBorders>
            <w:shd w:val="clear" w:color="auto" w:fill="auto"/>
            <w:vAlign w:val="center"/>
          </w:tcPr>
          <w:p w14:paraId="2D3CFAA8" w14:textId="52C1D3FC" w:rsidR="00F376C0" w:rsidRPr="00AE605B" w:rsidRDefault="00F376C0" w:rsidP="00F376C0">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5" w:type="dxa"/>
            <w:gridSpan w:val="3"/>
            <w:tcBorders>
              <w:top w:val="single" w:sz="4" w:space="0" w:color="auto"/>
              <w:bottom w:val="single" w:sz="4" w:space="0" w:color="auto"/>
            </w:tcBorders>
            <w:shd w:val="clear" w:color="auto" w:fill="auto"/>
            <w:vAlign w:val="center"/>
          </w:tcPr>
          <w:p w14:paraId="1768B821" w14:textId="112D4FC7" w:rsidR="00F376C0" w:rsidRPr="00AE605B" w:rsidRDefault="00615AC8" w:rsidP="00F376C0">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AE605B" w:rsidRPr="00AE605B" w14:paraId="0E4F12BA" w14:textId="77777777" w:rsidTr="009762DA">
        <w:trPr>
          <w:cantSplit/>
        </w:trPr>
        <w:tc>
          <w:tcPr>
            <w:tcW w:w="6120" w:type="dxa"/>
            <w:tcBorders>
              <w:top w:val="single" w:sz="4" w:space="0" w:color="auto"/>
              <w:bottom w:val="single" w:sz="4" w:space="0" w:color="auto"/>
            </w:tcBorders>
            <w:vAlign w:val="center"/>
          </w:tcPr>
          <w:p w14:paraId="51413D48" w14:textId="77777777" w:rsidR="00AE605B" w:rsidRPr="00AE605B" w:rsidRDefault="00AE605B" w:rsidP="009762DA">
            <w:pPr>
              <w:numPr>
                <w:ilvl w:val="0"/>
                <w:numId w:val="10"/>
              </w:numPr>
              <w:spacing w:before="60" w:after="60" w:line="240" w:lineRule="auto"/>
              <w:rPr>
                <w:rFonts w:ascii="Arial" w:hAnsi="Arial" w:cs="Arial"/>
                <w:i/>
                <w:sz w:val="19"/>
                <w:szCs w:val="19"/>
              </w:rPr>
            </w:pPr>
            <w:r w:rsidRPr="00AE605B">
              <w:rPr>
                <w:rFonts w:ascii="Arial" w:hAnsi="Arial" w:cs="Arial"/>
                <w:i/>
                <w:sz w:val="19"/>
                <w:szCs w:val="19"/>
              </w:rPr>
              <w:t xml:space="preserve">Are there any issues with staff capacity and/or turnover? Is there a lack of staff member training regarding the organization’s program requirements and financial management? </w:t>
            </w:r>
          </w:p>
        </w:tc>
        <w:tc>
          <w:tcPr>
            <w:tcW w:w="1170" w:type="dxa"/>
            <w:gridSpan w:val="2"/>
            <w:tcBorders>
              <w:top w:val="single" w:sz="4" w:space="0" w:color="auto"/>
              <w:bottom w:val="single" w:sz="4" w:space="0" w:color="auto"/>
            </w:tcBorders>
            <w:vAlign w:val="center"/>
          </w:tcPr>
          <w:p w14:paraId="4ED8D22A"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73" w:type="dxa"/>
            <w:gridSpan w:val="2"/>
            <w:tcBorders>
              <w:top w:val="single" w:sz="4" w:space="0" w:color="auto"/>
              <w:bottom w:val="single" w:sz="4" w:space="0" w:color="auto"/>
            </w:tcBorders>
            <w:vAlign w:val="center"/>
          </w:tcPr>
          <w:p w14:paraId="6F037B62"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5" w:type="dxa"/>
            <w:gridSpan w:val="3"/>
            <w:tcBorders>
              <w:top w:val="single" w:sz="4" w:space="0" w:color="auto"/>
              <w:bottom w:val="single" w:sz="4" w:space="0" w:color="auto"/>
            </w:tcBorders>
            <w:vAlign w:val="center"/>
          </w:tcPr>
          <w:p w14:paraId="73A14E8B" w14:textId="4C1D8024" w:rsidR="00AE605B" w:rsidRPr="00AE605B" w:rsidRDefault="00615AC8"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bookmarkEnd w:id="21"/>
      <w:tr w:rsidR="00AE605B" w:rsidRPr="00AE605B" w14:paraId="58BD5AC0" w14:textId="77777777" w:rsidTr="009762DA">
        <w:trPr>
          <w:cantSplit/>
        </w:trPr>
        <w:tc>
          <w:tcPr>
            <w:tcW w:w="6120" w:type="dxa"/>
            <w:tcBorders>
              <w:top w:val="single" w:sz="4" w:space="0" w:color="auto"/>
              <w:bottom w:val="single" w:sz="4" w:space="0" w:color="auto"/>
            </w:tcBorders>
            <w:vAlign w:val="center"/>
          </w:tcPr>
          <w:p w14:paraId="3EB88B80" w14:textId="77777777" w:rsidR="00AE605B" w:rsidRPr="00AE605B" w:rsidRDefault="00AE605B" w:rsidP="009762DA">
            <w:pPr>
              <w:numPr>
                <w:ilvl w:val="0"/>
                <w:numId w:val="10"/>
              </w:numPr>
              <w:spacing w:before="60" w:after="60" w:line="240" w:lineRule="auto"/>
              <w:rPr>
                <w:rFonts w:ascii="Arial" w:hAnsi="Arial" w:cs="Arial"/>
                <w:i/>
                <w:sz w:val="19"/>
                <w:szCs w:val="19"/>
              </w:rPr>
            </w:pPr>
            <w:r w:rsidRPr="00AE605B">
              <w:rPr>
                <w:rFonts w:ascii="Arial" w:hAnsi="Arial" w:cs="Arial"/>
                <w:i/>
                <w:sz w:val="19"/>
                <w:szCs w:val="19"/>
              </w:rPr>
              <w:t xml:space="preserve">Does the organization need to improve its public transparency via a website (see </w:t>
            </w:r>
            <w:hyperlink r:id="rId12" w:history="1">
              <w:r w:rsidRPr="00AE605B">
                <w:rPr>
                  <w:rFonts w:ascii="Arial" w:hAnsi="Arial" w:cs="Arial"/>
                  <w:i/>
                  <w:color w:val="0563C1"/>
                  <w:sz w:val="19"/>
                  <w:szCs w:val="19"/>
                  <w:u w:val="single"/>
                </w:rPr>
                <w:t>https://www.yololafco.org/yolo-local-government-website-transparency-scorecards</w:t>
              </w:r>
            </w:hyperlink>
            <w:r w:rsidRPr="00AE605B">
              <w:rPr>
                <w:rFonts w:ascii="Arial" w:hAnsi="Arial" w:cs="Arial"/>
                <w:i/>
                <w:sz w:val="19"/>
                <w:szCs w:val="19"/>
              </w:rPr>
              <w:t xml:space="preserve">)? </w:t>
            </w:r>
          </w:p>
        </w:tc>
        <w:tc>
          <w:tcPr>
            <w:tcW w:w="1170" w:type="dxa"/>
            <w:gridSpan w:val="2"/>
            <w:tcBorders>
              <w:top w:val="single" w:sz="4" w:space="0" w:color="auto"/>
              <w:bottom w:val="single" w:sz="4" w:space="0" w:color="auto"/>
            </w:tcBorders>
            <w:vAlign w:val="center"/>
          </w:tcPr>
          <w:p w14:paraId="48CC8E28"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
                  <w:enabled/>
                  <w:calcOnExit w:val="0"/>
                  <w:checkBox>
                    <w:sizeAuto/>
                    <w:default w:val="0"/>
                  </w:checkBox>
                </w:ffData>
              </w:fldChar>
            </w:r>
            <w:r w:rsidRPr="00AE605B">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73" w:type="dxa"/>
            <w:gridSpan w:val="2"/>
            <w:tcBorders>
              <w:top w:val="single" w:sz="4" w:space="0" w:color="auto"/>
              <w:bottom w:val="single" w:sz="4" w:space="0" w:color="auto"/>
            </w:tcBorders>
            <w:vAlign w:val="center"/>
          </w:tcPr>
          <w:p w14:paraId="6A767A82" w14:textId="77777777" w:rsidR="00AE605B" w:rsidRPr="00AE605B" w:rsidRDefault="00AE605B" w:rsidP="009762DA">
            <w:pPr>
              <w:spacing w:before="60" w:after="60" w:line="240" w:lineRule="auto"/>
              <w:jc w:val="center"/>
              <w:rPr>
                <w:rFonts w:ascii="Arial" w:hAnsi="Arial" w:cs="Arial"/>
                <w:i/>
                <w:sz w:val="19"/>
                <w:szCs w:val="19"/>
              </w:rPr>
            </w:pPr>
            <w:r w:rsidRPr="00AE605B">
              <w:rPr>
                <w:rFonts w:ascii="Arial" w:hAnsi="Arial" w:cs="Arial"/>
                <w:i/>
                <w:sz w:val="19"/>
                <w:szCs w:val="19"/>
              </w:rPr>
              <w:fldChar w:fldCharType="begin">
                <w:ffData>
                  <w:name w:val="Check29"/>
                  <w:enabled/>
                  <w:calcOnExit w:val="0"/>
                  <w:checkBox>
                    <w:sizeAuto/>
                    <w:default w:val="0"/>
                  </w:checkBox>
                </w:ffData>
              </w:fldChar>
            </w:r>
            <w:r w:rsidRPr="00AE605B">
              <w:rPr>
                <w:rFonts w:ascii="Arial" w:hAnsi="Arial" w:cs="Arial"/>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sidRPr="00AE605B">
              <w:rPr>
                <w:rFonts w:ascii="Arial" w:hAnsi="Arial" w:cs="Arial"/>
                <w:i/>
                <w:sz w:val="19"/>
                <w:szCs w:val="19"/>
              </w:rPr>
              <w:fldChar w:fldCharType="end"/>
            </w:r>
          </w:p>
        </w:tc>
        <w:tc>
          <w:tcPr>
            <w:tcW w:w="1155" w:type="dxa"/>
            <w:gridSpan w:val="3"/>
            <w:tcBorders>
              <w:top w:val="single" w:sz="4" w:space="0" w:color="auto"/>
              <w:bottom w:val="single" w:sz="4" w:space="0" w:color="auto"/>
            </w:tcBorders>
            <w:vAlign w:val="center"/>
          </w:tcPr>
          <w:p w14:paraId="5E46AF3B" w14:textId="19861FAF" w:rsidR="00AE605B" w:rsidRPr="00AE605B" w:rsidRDefault="0049789D"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30129CBF" w14:textId="21F36BE5" w:rsidR="002F58ED" w:rsidRPr="006927EE" w:rsidRDefault="008F118C" w:rsidP="00C424E8">
      <w:pPr>
        <w:keepNext/>
        <w:spacing w:after="120" w:line="240" w:lineRule="auto"/>
        <w:rPr>
          <w:rFonts w:ascii="Arial" w:eastAsia="Times New Roman" w:hAnsi="Arial" w:cs="Arial"/>
          <w:b/>
          <w:i/>
        </w:rPr>
      </w:pPr>
      <w:r w:rsidRPr="00AE605B">
        <w:rPr>
          <w:rFonts w:ascii="Arial" w:eastAsia="Times New Roman" w:hAnsi="Arial" w:cs="Arial"/>
          <w:b/>
        </w:rPr>
        <w:t>Discussion</w:t>
      </w:r>
      <w:r w:rsidR="00652EBE">
        <w:rPr>
          <w:rStyle w:val="FootnoteReference"/>
          <w:rFonts w:ascii="Arial" w:eastAsia="Times New Roman" w:hAnsi="Arial" w:cs="Arial"/>
          <w:b/>
        </w:rPr>
        <w:footnoteReference w:id="4"/>
      </w:r>
      <w:r w:rsidRPr="00AE605B">
        <w:rPr>
          <w:rFonts w:ascii="Arial" w:eastAsia="Times New Roman" w:hAnsi="Arial" w:cs="Arial"/>
          <w:b/>
        </w:rPr>
        <w:t xml:space="preserve">: </w:t>
      </w:r>
    </w:p>
    <w:p w14:paraId="007AA408" w14:textId="293DD2BF" w:rsidR="002F58ED" w:rsidRPr="002F58ED" w:rsidRDefault="002F58ED" w:rsidP="00C424E8">
      <w:pPr>
        <w:keepNext/>
        <w:tabs>
          <w:tab w:val="left" w:pos="360"/>
        </w:tabs>
        <w:spacing w:after="120" w:line="240" w:lineRule="auto"/>
        <w:rPr>
          <w:rFonts w:ascii="Arial" w:eastAsia="Times New Roman" w:hAnsi="Arial" w:cs="Arial"/>
        </w:rPr>
      </w:pPr>
      <w:r w:rsidRPr="002F58ED">
        <w:rPr>
          <w:rFonts w:ascii="Arial" w:eastAsia="Times New Roman" w:hAnsi="Arial" w:cs="Arial"/>
        </w:rPr>
        <w:t>Changes to the E</w:t>
      </w:r>
      <w:r w:rsidR="005D48A6">
        <w:rPr>
          <w:rFonts w:ascii="Arial" w:eastAsia="Times New Roman" w:hAnsi="Arial" w:cs="Arial"/>
        </w:rPr>
        <w:t xml:space="preserve">l </w:t>
      </w:r>
      <w:r w:rsidRPr="002F58ED">
        <w:rPr>
          <w:rFonts w:ascii="Arial" w:eastAsia="Times New Roman" w:hAnsi="Arial" w:cs="Arial"/>
        </w:rPr>
        <w:t>M</w:t>
      </w:r>
      <w:r w:rsidR="005D48A6">
        <w:rPr>
          <w:rFonts w:ascii="Arial" w:eastAsia="Times New Roman" w:hAnsi="Arial" w:cs="Arial"/>
        </w:rPr>
        <w:t xml:space="preserve">acero </w:t>
      </w:r>
      <w:r w:rsidRPr="002F58ED">
        <w:rPr>
          <w:rFonts w:ascii="Arial" w:eastAsia="Times New Roman" w:hAnsi="Arial" w:cs="Arial"/>
        </w:rPr>
        <w:t xml:space="preserve">CSA’s operations to </w:t>
      </w:r>
      <w:r w:rsidR="005D48A6">
        <w:rPr>
          <w:rFonts w:ascii="Arial" w:eastAsia="Times New Roman" w:hAnsi="Arial" w:cs="Arial"/>
        </w:rPr>
        <w:t xml:space="preserve">have the City </w:t>
      </w:r>
      <w:r w:rsidRPr="002F58ED">
        <w:rPr>
          <w:rFonts w:ascii="Arial" w:eastAsia="Times New Roman" w:hAnsi="Arial" w:cs="Arial"/>
        </w:rPr>
        <w:t xml:space="preserve">provide direct billing </w:t>
      </w:r>
      <w:r w:rsidR="005D48A6">
        <w:rPr>
          <w:rFonts w:ascii="Arial" w:eastAsia="Times New Roman" w:hAnsi="Arial" w:cs="Arial"/>
        </w:rPr>
        <w:t xml:space="preserve">to residents </w:t>
      </w:r>
      <w:r w:rsidRPr="002F58ED">
        <w:rPr>
          <w:rFonts w:ascii="Arial" w:eastAsia="Times New Roman" w:hAnsi="Arial" w:cs="Arial"/>
        </w:rPr>
        <w:t>for water and sewer services would improve accountability and efficiency. Water fees are especially complicated because water is charged based on usage, where sewer is a flat fee calculated annually. And the water pass</w:t>
      </w:r>
      <w:r w:rsidR="005D48A6">
        <w:rPr>
          <w:rFonts w:ascii="Arial" w:eastAsia="Times New Roman" w:hAnsi="Arial" w:cs="Arial"/>
        </w:rPr>
        <w:t>-</w:t>
      </w:r>
      <w:r w:rsidRPr="002F58ED">
        <w:rPr>
          <w:rFonts w:ascii="Arial" w:eastAsia="Times New Roman" w:hAnsi="Arial" w:cs="Arial"/>
        </w:rPr>
        <w:t xml:space="preserve">through is always one year in arrears. Within a fiscal year, City of Davis is collecting water usage amounts and then in July each year, the EMCSA is sent one amount due for the entire community. The EMCSA pays the water charges to the City in advance of collecting the amounts from the residents, for example in fiscal year 2018-19 the CSA collected the water charges for 2017-18 but paid the City for usage for fiscal year 2018-19, thus creating a structural deficit each year. The CSA Manager calculates the annual water charge for each property, and then </w:t>
      </w:r>
      <w:r w:rsidR="00C87135">
        <w:rPr>
          <w:rFonts w:ascii="Arial" w:eastAsia="Times New Roman" w:hAnsi="Arial" w:cs="Arial"/>
        </w:rPr>
        <w:t>generates the annual direct charge</w:t>
      </w:r>
      <w:r w:rsidRPr="002F58ED">
        <w:rPr>
          <w:rFonts w:ascii="Arial" w:eastAsia="Times New Roman" w:hAnsi="Arial" w:cs="Arial"/>
        </w:rPr>
        <w:t xml:space="preserve"> </w:t>
      </w:r>
      <w:r w:rsidR="00C87135">
        <w:rPr>
          <w:rFonts w:ascii="Arial" w:eastAsia="Times New Roman" w:hAnsi="Arial" w:cs="Arial"/>
        </w:rPr>
        <w:t>for</w:t>
      </w:r>
      <w:r w:rsidR="00FB231D">
        <w:rPr>
          <w:rFonts w:ascii="Arial" w:eastAsia="Times New Roman" w:hAnsi="Arial" w:cs="Arial"/>
        </w:rPr>
        <w:t xml:space="preserve"> </w:t>
      </w:r>
      <w:r w:rsidRPr="002F58ED">
        <w:rPr>
          <w:rFonts w:ascii="Arial" w:eastAsia="Times New Roman" w:hAnsi="Arial" w:cs="Arial"/>
        </w:rPr>
        <w:t xml:space="preserve">the next year’s property tax roll. </w:t>
      </w:r>
    </w:p>
    <w:p w14:paraId="7BF387A4" w14:textId="77777777" w:rsidR="002F58ED" w:rsidRPr="002F58ED" w:rsidRDefault="002F58ED" w:rsidP="00723D59">
      <w:pPr>
        <w:tabs>
          <w:tab w:val="left" w:pos="360"/>
        </w:tabs>
        <w:spacing w:after="120" w:line="240" w:lineRule="auto"/>
        <w:rPr>
          <w:rFonts w:ascii="Arial" w:eastAsia="Times New Roman" w:hAnsi="Arial" w:cs="Arial"/>
        </w:rPr>
      </w:pPr>
      <w:r w:rsidRPr="002F58ED">
        <w:rPr>
          <w:rFonts w:ascii="Arial" w:eastAsia="Times New Roman" w:hAnsi="Arial" w:cs="Arial"/>
        </w:rPr>
        <w:t>The current method of paying for water service has several issues and inefficiencies:</w:t>
      </w:r>
    </w:p>
    <w:p w14:paraId="61274014" w14:textId="3BB07B15" w:rsidR="002F58ED" w:rsidRPr="002F58ED" w:rsidRDefault="002F58ED" w:rsidP="00723D59">
      <w:pPr>
        <w:numPr>
          <w:ilvl w:val="0"/>
          <w:numId w:val="29"/>
        </w:numPr>
        <w:tabs>
          <w:tab w:val="left" w:pos="360"/>
        </w:tabs>
        <w:spacing w:after="120" w:line="240" w:lineRule="auto"/>
        <w:ind w:left="720"/>
        <w:rPr>
          <w:rFonts w:ascii="Arial" w:eastAsia="Times New Roman" w:hAnsi="Arial" w:cs="Arial"/>
        </w:rPr>
      </w:pPr>
      <w:r w:rsidRPr="002F58ED">
        <w:rPr>
          <w:rFonts w:ascii="Arial" w:eastAsia="Times New Roman" w:hAnsi="Arial" w:cs="Arial"/>
        </w:rPr>
        <w:t xml:space="preserve">When a property is sold, the new resident </w:t>
      </w:r>
      <w:r w:rsidR="005D48A6">
        <w:rPr>
          <w:rFonts w:ascii="Arial" w:eastAsia="Times New Roman" w:hAnsi="Arial" w:cs="Arial"/>
        </w:rPr>
        <w:t xml:space="preserve">is responsible for </w:t>
      </w:r>
      <w:r w:rsidRPr="002F58ED">
        <w:rPr>
          <w:rFonts w:ascii="Arial" w:eastAsia="Times New Roman" w:hAnsi="Arial" w:cs="Arial"/>
        </w:rPr>
        <w:t>paying for the water usage of the previous resident(s) through the remainder of the fiscal year, which may not be fair depending on the difference in usage.</w:t>
      </w:r>
    </w:p>
    <w:p w14:paraId="39D22F5C" w14:textId="1752DFDB" w:rsidR="002F58ED" w:rsidRPr="002F58ED" w:rsidRDefault="002F58ED" w:rsidP="00723D59">
      <w:pPr>
        <w:numPr>
          <w:ilvl w:val="0"/>
          <w:numId w:val="29"/>
        </w:numPr>
        <w:tabs>
          <w:tab w:val="left" w:pos="360"/>
        </w:tabs>
        <w:spacing w:after="120" w:line="240" w:lineRule="auto"/>
        <w:ind w:left="720"/>
        <w:rPr>
          <w:rFonts w:ascii="Arial" w:eastAsia="Times New Roman" w:hAnsi="Arial" w:cs="Arial"/>
        </w:rPr>
      </w:pPr>
      <w:r w:rsidRPr="002F58ED">
        <w:rPr>
          <w:rFonts w:ascii="Arial" w:eastAsia="Times New Roman" w:hAnsi="Arial" w:cs="Arial"/>
        </w:rPr>
        <w:t>This</w:t>
      </w:r>
      <w:r w:rsidR="005D48A6">
        <w:rPr>
          <w:rFonts w:ascii="Arial" w:eastAsia="Times New Roman" w:hAnsi="Arial" w:cs="Arial"/>
        </w:rPr>
        <w:t xml:space="preserve"> delayed</w:t>
      </w:r>
      <w:r w:rsidRPr="002F58ED">
        <w:rPr>
          <w:rFonts w:ascii="Arial" w:eastAsia="Times New Roman" w:hAnsi="Arial" w:cs="Arial"/>
        </w:rPr>
        <w:t xml:space="preserve"> method </w:t>
      </w:r>
      <w:r w:rsidR="005D48A6">
        <w:rPr>
          <w:rFonts w:ascii="Arial" w:eastAsia="Times New Roman" w:hAnsi="Arial" w:cs="Arial"/>
        </w:rPr>
        <w:t xml:space="preserve">of collecting fees annually from residents on the property tax bill </w:t>
      </w:r>
      <w:r w:rsidRPr="002F58ED">
        <w:rPr>
          <w:rFonts w:ascii="Arial" w:eastAsia="Times New Roman" w:hAnsi="Arial" w:cs="Arial"/>
        </w:rPr>
        <w:t xml:space="preserve">does not lend itself to water conservation efforts, because fees are not necessarily noticed (with monthly fluctuations) as directly by the homeowner. Residents </w:t>
      </w:r>
      <w:r w:rsidR="00723D59" w:rsidRPr="002F58ED">
        <w:rPr>
          <w:rFonts w:ascii="Arial" w:eastAsia="Times New Roman" w:hAnsi="Arial" w:cs="Arial"/>
        </w:rPr>
        <w:t>can</w:t>
      </w:r>
      <w:r w:rsidRPr="002F58ED">
        <w:rPr>
          <w:rFonts w:ascii="Arial" w:eastAsia="Times New Roman" w:hAnsi="Arial" w:cs="Arial"/>
        </w:rPr>
        <w:t xml:space="preserve"> access the City’s </w:t>
      </w:r>
      <w:proofErr w:type="spellStart"/>
      <w:r w:rsidRPr="002F58ED">
        <w:rPr>
          <w:rFonts w:ascii="Arial" w:eastAsia="Times New Roman" w:hAnsi="Arial" w:cs="Arial"/>
        </w:rPr>
        <w:t>Aquahawk</w:t>
      </w:r>
      <w:proofErr w:type="spellEnd"/>
      <w:r w:rsidRPr="002F58ED">
        <w:rPr>
          <w:rFonts w:ascii="Arial" w:eastAsia="Times New Roman" w:hAnsi="Arial" w:cs="Arial"/>
        </w:rPr>
        <w:t xml:space="preserve"> data to see their usage, </w:t>
      </w:r>
      <w:r w:rsidR="005D48A6">
        <w:rPr>
          <w:rFonts w:ascii="Arial" w:eastAsia="Times New Roman" w:hAnsi="Arial" w:cs="Arial"/>
        </w:rPr>
        <w:t xml:space="preserve">but this </w:t>
      </w:r>
      <w:r w:rsidRPr="002F58ED">
        <w:rPr>
          <w:rFonts w:ascii="Arial" w:eastAsia="Times New Roman" w:hAnsi="Arial" w:cs="Arial"/>
        </w:rPr>
        <w:t xml:space="preserve">requires diligence on the resident’s part.  </w:t>
      </w:r>
    </w:p>
    <w:p w14:paraId="4F6FAC12" w14:textId="0692558B" w:rsidR="002F58ED" w:rsidRPr="002F58ED" w:rsidRDefault="002F58ED" w:rsidP="00723D59">
      <w:pPr>
        <w:numPr>
          <w:ilvl w:val="0"/>
          <w:numId w:val="29"/>
        </w:numPr>
        <w:tabs>
          <w:tab w:val="left" w:pos="360"/>
        </w:tabs>
        <w:spacing w:after="120" w:line="240" w:lineRule="auto"/>
        <w:ind w:left="720"/>
        <w:rPr>
          <w:rFonts w:ascii="Arial" w:eastAsia="Times New Roman" w:hAnsi="Arial" w:cs="Arial"/>
        </w:rPr>
      </w:pPr>
      <w:r w:rsidRPr="002F58ED">
        <w:rPr>
          <w:rFonts w:ascii="Arial" w:eastAsia="Times New Roman" w:hAnsi="Arial" w:cs="Arial"/>
        </w:rPr>
        <w:t>The E</w:t>
      </w:r>
      <w:r w:rsidR="005D48A6">
        <w:rPr>
          <w:rFonts w:ascii="Arial" w:eastAsia="Times New Roman" w:hAnsi="Arial" w:cs="Arial"/>
        </w:rPr>
        <w:t xml:space="preserve">l </w:t>
      </w:r>
      <w:r w:rsidRPr="002F58ED">
        <w:rPr>
          <w:rFonts w:ascii="Arial" w:eastAsia="Times New Roman" w:hAnsi="Arial" w:cs="Arial"/>
        </w:rPr>
        <w:t>M</w:t>
      </w:r>
      <w:r w:rsidR="005D48A6">
        <w:rPr>
          <w:rFonts w:ascii="Arial" w:eastAsia="Times New Roman" w:hAnsi="Arial" w:cs="Arial"/>
        </w:rPr>
        <w:t xml:space="preserve">acero </w:t>
      </w:r>
      <w:r w:rsidRPr="002F58ED">
        <w:rPr>
          <w:rFonts w:ascii="Arial" w:eastAsia="Times New Roman" w:hAnsi="Arial" w:cs="Arial"/>
        </w:rPr>
        <w:t xml:space="preserve">CSA pays the water charges to the City in advance of collecting the amounts from the residents, creating a structural deficit each year. Cash </w:t>
      </w:r>
      <w:r w:rsidR="005D48A6">
        <w:rPr>
          <w:rFonts w:ascii="Arial" w:eastAsia="Times New Roman" w:hAnsi="Arial" w:cs="Arial"/>
        </w:rPr>
        <w:t xml:space="preserve">reserves </w:t>
      </w:r>
      <w:r w:rsidRPr="002F58ED">
        <w:rPr>
          <w:rFonts w:ascii="Arial" w:eastAsia="Times New Roman" w:hAnsi="Arial" w:cs="Arial"/>
        </w:rPr>
        <w:t>from the operations fund is used to float during these timing differences to alleviate the need to borrow funds.</w:t>
      </w:r>
    </w:p>
    <w:p w14:paraId="2DD2ECCA" w14:textId="007D8332" w:rsidR="00D54D67" w:rsidRPr="002F58ED" w:rsidRDefault="00D54D67" w:rsidP="00723D59">
      <w:pPr>
        <w:numPr>
          <w:ilvl w:val="0"/>
          <w:numId w:val="29"/>
        </w:numPr>
        <w:tabs>
          <w:tab w:val="left" w:pos="360"/>
        </w:tabs>
        <w:spacing w:after="120" w:line="240" w:lineRule="auto"/>
        <w:ind w:left="720"/>
        <w:rPr>
          <w:rFonts w:ascii="Arial" w:eastAsia="Times New Roman" w:hAnsi="Arial" w:cs="Arial"/>
        </w:rPr>
      </w:pPr>
      <w:r w:rsidRPr="002F58ED">
        <w:rPr>
          <w:rFonts w:ascii="Arial" w:eastAsia="Times New Roman" w:hAnsi="Arial" w:cs="Arial"/>
        </w:rPr>
        <w:lastRenderedPageBreak/>
        <w:t xml:space="preserve">The CSA Manager estimates it requires 4-5 hours of time </w:t>
      </w:r>
      <w:r w:rsidR="00FB231D">
        <w:rPr>
          <w:rFonts w:ascii="Arial" w:eastAsia="Times New Roman" w:hAnsi="Arial" w:cs="Arial"/>
        </w:rPr>
        <w:t xml:space="preserve">per year </w:t>
      </w:r>
      <w:r w:rsidRPr="002F58ED">
        <w:rPr>
          <w:rFonts w:ascii="Arial" w:eastAsia="Times New Roman" w:hAnsi="Arial" w:cs="Arial"/>
        </w:rPr>
        <w:t>to consolidate monthly billings, verify accuracy</w:t>
      </w:r>
      <w:r w:rsidR="005D48A6">
        <w:rPr>
          <w:rFonts w:ascii="Arial" w:eastAsia="Times New Roman" w:hAnsi="Arial" w:cs="Arial"/>
        </w:rPr>
        <w:t>,</w:t>
      </w:r>
      <w:r w:rsidRPr="002F58ED">
        <w:rPr>
          <w:rFonts w:ascii="Arial" w:eastAsia="Times New Roman" w:hAnsi="Arial" w:cs="Arial"/>
        </w:rPr>
        <w:t xml:space="preserve"> and prepare the tax roll</w:t>
      </w:r>
      <w:r w:rsidR="005D48A6">
        <w:rPr>
          <w:rFonts w:ascii="Arial" w:eastAsia="Times New Roman" w:hAnsi="Arial" w:cs="Arial"/>
        </w:rPr>
        <w:t>, with this administrative cost being passed on to the residents</w:t>
      </w:r>
      <w:r w:rsidRPr="002F58ED">
        <w:rPr>
          <w:rFonts w:ascii="Arial" w:eastAsia="Times New Roman" w:hAnsi="Arial" w:cs="Arial"/>
        </w:rPr>
        <w:t>.</w:t>
      </w:r>
    </w:p>
    <w:p w14:paraId="0A290B9B" w14:textId="71591C24" w:rsidR="002F58ED" w:rsidRPr="002F58ED" w:rsidRDefault="002F58ED" w:rsidP="00723D59">
      <w:pPr>
        <w:spacing w:after="120" w:line="240" w:lineRule="auto"/>
        <w:rPr>
          <w:rFonts w:ascii="Arial" w:eastAsia="Times New Roman" w:hAnsi="Arial" w:cs="Arial"/>
        </w:rPr>
      </w:pPr>
      <w:r w:rsidRPr="002F58ED">
        <w:rPr>
          <w:rFonts w:ascii="Arial" w:eastAsia="Times New Roman" w:hAnsi="Arial" w:cs="Arial"/>
        </w:rPr>
        <w:t xml:space="preserve">LAFCo </w:t>
      </w:r>
      <w:r w:rsidR="005D48A6">
        <w:rPr>
          <w:rFonts w:ascii="Arial" w:eastAsia="Times New Roman" w:hAnsi="Arial" w:cs="Arial"/>
        </w:rPr>
        <w:t xml:space="preserve">therefore </w:t>
      </w:r>
      <w:r w:rsidRPr="002F58ED">
        <w:rPr>
          <w:rFonts w:ascii="Arial" w:eastAsia="Times New Roman" w:hAnsi="Arial" w:cs="Arial"/>
        </w:rPr>
        <w:t>recommends the City bill E</w:t>
      </w:r>
      <w:r w:rsidR="005D48A6">
        <w:rPr>
          <w:rFonts w:ascii="Arial" w:eastAsia="Times New Roman" w:hAnsi="Arial" w:cs="Arial"/>
        </w:rPr>
        <w:t xml:space="preserve">l </w:t>
      </w:r>
      <w:r w:rsidRPr="002F58ED">
        <w:rPr>
          <w:rFonts w:ascii="Arial" w:eastAsia="Times New Roman" w:hAnsi="Arial" w:cs="Arial"/>
        </w:rPr>
        <w:t>M</w:t>
      </w:r>
      <w:r w:rsidR="005D48A6">
        <w:rPr>
          <w:rFonts w:ascii="Arial" w:eastAsia="Times New Roman" w:hAnsi="Arial" w:cs="Arial"/>
        </w:rPr>
        <w:t xml:space="preserve">acero </w:t>
      </w:r>
      <w:r w:rsidRPr="002F58ED">
        <w:rPr>
          <w:rFonts w:ascii="Arial" w:eastAsia="Times New Roman" w:hAnsi="Arial" w:cs="Arial"/>
        </w:rPr>
        <w:t xml:space="preserve">CSA residents directly for water and sewer fees. </w:t>
      </w:r>
      <w:r w:rsidR="00F22D0E">
        <w:rPr>
          <w:rFonts w:ascii="Arial" w:eastAsia="Times New Roman" w:hAnsi="Arial" w:cs="Arial"/>
        </w:rPr>
        <w:t>The sewer charges should reflect the 2015 amendment to Agreement No. 75-97</w:t>
      </w:r>
      <w:r w:rsidR="00C424E8">
        <w:rPr>
          <w:rFonts w:ascii="Arial" w:eastAsia="Times New Roman" w:hAnsi="Arial" w:cs="Arial"/>
        </w:rPr>
        <w:t xml:space="preserve"> settling the billing dispute. </w:t>
      </w:r>
    </w:p>
    <w:p w14:paraId="5FD759C1" w14:textId="76C67828" w:rsidR="002F58ED" w:rsidRDefault="00BC516F" w:rsidP="00FB231D">
      <w:pPr>
        <w:spacing w:after="120" w:line="240" w:lineRule="auto"/>
        <w:rPr>
          <w:rFonts w:ascii="Arial" w:eastAsia="Times New Roman" w:hAnsi="Arial" w:cs="Arial"/>
        </w:rPr>
      </w:pPr>
      <w:r w:rsidRPr="00BC516F">
        <w:rPr>
          <w:rFonts w:ascii="Arial" w:eastAsia="Times New Roman" w:hAnsi="Arial" w:cs="Arial"/>
        </w:rPr>
        <w:t xml:space="preserve">The CSA has a five-member advisory committee to advise </w:t>
      </w:r>
      <w:r w:rsidRPr="009D4F50">
        <w:rPr>
          <w:rFonts w:ascii="Arial" w:eastAsia="Times New Roman" w:hAnsi="Arial" w:cs="Arial"/>
        </w:rPr>
        <w:t xml:space="preserve">the </w:t>
      </w:r>
      <w:r w:rsidR="00146BB6">
        <w:rPr>
          <w:rFonts w:ascii="Arial" w:eastAsia="Times New Roman" w:hAnsi="Arial" w:cs="Arial"/>
        </w:rPr>
        <w:t>BOS</w:t>
      </w:r>
      <w:r w:rsidRPr="009D4F50">
        <w:rPr>
          <w:rFonts w:ascii="Arial" w:eastAsia="Times New Roman" w:hAnsi="Arial" w:cs="Arial"/>
        </w:rPr>
        <w:t xml:space="preserve"> regarding CSA services and facilities. </w:t>
      </w:r>
      <w:bookmarkStart w:id="22" w:name="_Hlk113965824"/>
      <w:r w:rsidR="00FB231D">
        <w:rPr>
          <w:rFonts w:ascii="Arial" w:eastAsia="Times New Roman" w:hAnsi="Arial" w:cs="Arial"/>
        </w:rPr>
        <w:t>Per Government Code Section 2</w:t>
      </w:r>
      <w:r w:rsidR="00FB231D" w:rsidRPr="00FB231D">
        <w:rPr>
          <w:rFonts w:ascii="Arial" w:eastAsia="Times New Roman" w:hAnsi="Arial" w:cs="Arial"/>
        </w:rPr>
        <w:t>5212.4</w:t>
      </w:r>
      <w:r w:rsidR="00FB231D">
        <w:rPr>
          <w:rFonts w:ascii="Arial" w:eastAsia="Times New Roman" w:hAnsi="Arial" w:cs="Arial"/>
        </w:rPr>
        <w:t xml:space="preserve"> the BOS</w:t>
      </w:r>
      <w:r w:rsidR="00FB231D" w:rsidRPr="00FB231D">
        <w:rPr>
          <w:rFonts w:ascii="Arial" w:eastAsia="Times New Roman" w:hAnsi="Arial" w:cs="Arial"/>
        </w:rPr>
        <w:t xml:space="preserve"> may appoint one or more advisory committees to give advice to the </w:t>
      </w:r>
      <w:r w:rsidR="00146BB6">
        <w:rPr>
          <w:rFonts w:ascii="Arial" w:eastAsia="Times New Roman" w:hAnsi="Arial" w:cs="Arial"/>
        </w:rPr>
        <w:t>BOS</w:t>
      </w:r>
      <w:r w:rsidR="00FB231D" w:rsidRPr="00FB231D">
        <w:rPr>
          <w:rFonts w:ascii="Arial" w:eastAsia="Times New Roman" w:hAnsi="Arial" w:cs="Arial"/>
        </w:rPr>
        <w:t xml:space="preserve"> regarding a county service area’s services and facilities</w:t>
      </w:r>
      <w:r w:rsidR="00FB231D">
        <w:rPr>
          <w:rFonts w:ascii="Arial" w:eastAsia="Times New Roman" w:hAnsi="Arial" w:cs="Arial"/>
        </w:rPr>
        <w:t xml:space="preserve"> and may </w:t>
      </w:r>
      <w:r w:rsidR="00FB231D" w:rsidRPr="00FB231D">
        <w:rPr>
          <w:rFonts w:ascii="Arial" w:eastAsia="Times New Roman" w:hAnsi="Arial" w:cs="Arial"/>
        </w:rPr>
        <w:t xml:space="preserve">provide for the appointment, qualifications, terms, procedures, meetings, and ethical conduct of the members of an advisory committee. </w:t>
      </w:r>
      <w:r w:rsidR="00603AF3">
        <w:rPr>
          <w:rFonts w:ascii="Arial" w:eastAsia="Times New Roman" w:hAnsi="Arial" w:cs="Arial"/>
        </w:rPr>
        <w:t xml:space="preserve">Therefore, </w:t>
      </w:r>
      <w:r w:rsidR="00146BB6">
        <w:rPr>
          <w:rFonts w:ascii="Arial" w:eastAsia="Times New Roman" w:hAnsi="Arial" w:cs="Arial"/>
        </w:rPr>
        <w:t>it’s</w:t>
      </w:r>
      <w:r w:rsidR="00603AF3">
        <w:rPr>
          <w:rFonts w:ascii="Arial" w:eastAsia="Times New Roman" w:hAnsi="Arial" w:cs="Arial"/>
        </w:rPr>
        <w:t xml:space="preserve"> within the purview of the BOS to decide if and how it </w:t>
      </w:r>
      <w:r w:rsidR="00146BB6">
        <w:rPr>
          <w:rFonts w:ascii="Arial" w:eastAsia="Times New Roman" w:hAnsi="Arial" w:cs="Arial"/>
        </w:rPr>
        <w:t>provide</w:t>
      </w:r>
      <w:r w:rsidR="00994939">
        <w:rPr>
          <w:rFonts w:ascii="Arial" w:eastAsia="Times New Roman" w:hAnsi="Arial" w:cs="Arial"/>
        </w:rPr>
        <w:t>s</w:t>
      </w:r>
      <w:r w:rsidR="00146BB6">
        <w:rPr>
          <w:rFonts w:ascii="Arial" w:eastAsia="Times New Roman" w:hAnsi="Arial" w:cs="Arial"/>
        </w:rPr>
        <w:t xml:space="preserve"> for these items. </w:t>
      </w:r>
      <w:bookmarkEnd w:id="22"/>
      <w:r w:rsidR="00146BB6">
        <w:rPr>
          <w:rFonts w:ascii="Arial" w:eastAsia="Times New Roman" w:hAnsi="Arial" w:cs="Arial"/>
        </w:rPr>
        <w:t xml:space="preserve">There have been resident complaints about the advisory committee and term limits. </w:t>
      </w:r>
      <w:r w:rsidR="009D4F50" w:rsidRPr="009D4F50">
        <w:rPr>
          <w:rFonts w:ascii="Arial" w:hAnsi="Arial" w:cs="Arial"/>
        </w:rPr>
        <w:t>In February 2021 the BOS</w:t>
      </w:r>
      <w:r w:rsidR="009D4F50" w:rsidRPr="009D4F50">
        <w:rPr>
          <w:rFonts w:ascii="Arial" w:eastAsia="Times New Roman" w:hAnsi="Arial" w:cs="Arial"/>
        </w:rPr>
        <w:t xml:space="preserve"> Clerk amended the appointment process to ensure justification to exceed </w:t>
      </w:r>
      <w:r w:rsidR="006927EE">
        <w:rPr>
          <w:rFonts w:ascii="Arial" w:eastAsia="Times New Roman" w:hAnsi="Arial" w:cs="Arial"/>
        </w:rPr>
        <w:t>advisory committee</w:t>
      </w:r>
      <w:r w:rsidR="009D4F50" w:rsidRPr="009D4F50">
        <w:rPr>
          <w:rFonts w:ascii="Arial" w:eastAsia="Times New Roman" w:hAnsi="Arial" w:cs="Arial"/>
        </w:rPr>
        <w:t xml:space="preserve"> two-term limit be publicly</w:t>
      </w:r>
      <w:r w:rsidR="009D4F50">
        <w:rPr>
          <w:rFonts w:ascii="Arial" w:eastAsia="Times New Roman" w:hAnsi="Arial" w:cs="Arial"/>
        </w:rPr>
        <w:t xml:space="preserve"> available online</w:t>
      </w:r>
      <w:r w:rsidR="006927EE">
        <w:rPr>
          <w:rFonts w:ascii="Arial" w:eastAsia="Times New Roman" w:hAnsi="Arial" w:cs="Arial"/>
        </w:rPr>
        <w:t xml:space="preserve"> prior to the appointment</w:t>
      </w:r>
      <w:r w:rsidR="009D4F50">
        <w:rPr>
          <w:rFonts w:ascii="Arial" w:eastAsia="Times New Roman" w:hAnsi="Arial" w:cs="Arial"/>
        </w:rPr>
        <w:t>.</w:t>
      </w:r>
      <w:r w:rsidR="00146BB6">
        <w:rPr>
          <w:rFonts w:ascii="Arial" w:eastAsia="Times New Roman" w:hAnsi="Arial" w:cs="Arial"/>
        </w:rPr>
        <w:t xml:space="preserve"> </w:t>
      </w:r>
      <w:r w:rsidR="00F22D0E">
        <w:rPr>
          <w:rFonts w:ascii="Arial" w:eastAsia="Times New Roman" w:hAnsi="Arial" w:cs="Arial"/>
        </w:rPr>
        <w:t>Term tracker shows o</w:t>
      </w:r>
      <w:r w:rsidR="00146BB6" w:rsidRPr="009D4F50">
        <w:rPr>
          <w:rFonts w:ascii="Arial" w:eastAsia="Times New Roman" w:hAnsi="Arial" w:cs="Arial"/>
        </w:rPr>
        <w:t>ne seat currently vacant</w:t>
      </w:r>
      <w:r w:rsidR="00146BB6" w:rsidRPr="009D4F50">
        <w:rPr>
          <w:rFonts w:ascii="Arial" w:eastAsia="Times New Roman" w:hAnsi="Arial" w:cs="Arial"/>
          <w:vertAlign w:val="superscript"/>
        </w:rPr>
        <w:footnoteReference w:id="5"/>
      </w:r>
      <w:r w:rsidR="00146BB6" w:rsidRPr="009D4F50">
        <w:rPr>
          <w:rFonts w:ascii="Arial" w:eastAsia="Times New Roman" w:hAnsi="Arial" w:cs="Arial"/>
        </w:rPr>
        <w:t>.</w:t>
      </w:r>
      <w:r w:rsidR="00F22D0E">
        <w:rPr>
          <w:rFonts w:ascii="Arial" w:eastAsia="Times New Roman" w:hAnsi="Arial" w:cs="Arial"/>
        </w:rPr>
        <w:t>, however</w:t>
      </w:r>
      <w:r w:rsidR="00146BB6">
        <w:rPr>
          <w:rFonts w:ascii="Arial" w:eastAsia="Times New Roman" w:hAnsi="Arial" w:cs="Arial"/>
        </w:rPr>
        <w:t xml:space="preserve"> Kristin </w:t>
      </w:r>
      <w:r w:rsidR="00F22D0E">
        <w:rPr>
          <w:rFonts w:ascii="Arial" w:eastAsia="Times New Roman" w:hAnsi="Arial" w:cs="Arial"/>
        </w:rPr>
        <w:t xml:space="preserve">Kelleher </w:t>
      </w:r>
      <w:r w:rsidR="00146BB6">
        <w:rPr>
          <w:rFonts w:ascii="Arial" w:eastAsia="Times New Roman" w:hAnsi="Arial" w:cs="Arial"/>
        </w:rPr>
        <w:t xml:space="preserve">Wong </w:t>
      </w:r>
      <w:r w:rsidR="00F22D0E">
        <w:rPr>
          <w:rFonts w:ascii="Arial" w:eastAsia="Times New Roman" w:hAnsi="Arial" w:cs="Arial"/>
        </w:rPr>
        <w:t xml:space="preserve">was </w:t>
      </w:r>
      <w:r w:rsidR="00146BB6">
        <w:rPr>
          <w:rFonts w:ascii="Arial" w:eastAsia="Times New Roman" w:hAnsi="Arial" w:cs="Arial"/>
        </w:rPr>
        <w:t>appointed</w:t>
      </w:r>
      <w:r w:rsidR="00F22D0E">
        <w:rPr>
          <w:rFonts w:ascii="Arial" w:eastAsia="Times New Roman" w:hAnsi="Arial" w:cs="Arial"/>
        </w:rPr>
        <w:t xml:space="preserve"> to fill this seat on September 27, 2022.</w:t>
      </w:r>
    </w:p>
    <w:p w14:paraId="27ADC24E" w14:textId="36D23CD6" w:rsidR="009D4F50" w:rsidRPr="002F58ED" w:rsidRDefault="009D4F50" w:rsidP="00723D59">
      <w:pPr>
        <w:spacing w:after="120" w:line="240" w:lineRule="auto"/>
        <w:ind w:left="360"/>
        <w:jc w:val="center"/>
        <w:rPr>
          <w:rFonts w:ascii="Arial" w:eastAsia="Times New Roman" w:hAnsi="Arial" w:cs="Arial"/>
        </w:rPr>
      </w:pPr>
      <w:r>
        <w:rPr>
          <w:noProof/>
        </w:rPr>
        <w:drawing>
          <wp:inline distT="0" distB="0" distL="0" distR="0" wp14:anchorId="3A749E42" wp14:editId="0B5D76FC">
            <wp:extent cx="3928262" cy="123544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3740" cy="1259180"/>
                    </a:xfrm>
                    <a:prstGeom prst="rect">
                      <a:avLst/>
                    </a:prstGeom>
                  </pic:spPr>
                </pic:pic>
              </a:graphicData>
            </a:graphic>
          </wp:inline>
        </w:drawing>
      </w:r>
    </w:p>
    <w:p w14:paraId="392FFEAE" w14:textId="19701A11" w:rsidR="002F58ED" w:rsidRPr="002F58ED" w:rsidRDefault="002F58ED" w:rsidP="00723D59">
      <w:pPr>
        <w:spacing w:after="120" w:line="240" w:lineRule="auto"/>
        <w:rPr>
          <w:rFonts w:ascii="Arial" w:eastAsia="Times New Roman" w:hAnsi="Arial" w:cs="Arial"/>
        </w:rPr>
      </w:pPr>
      <w:r w:rsidRPr="002F58ED">
        <w:rPr>
          <w:rFonts w:ascii="Arial" w:eastAsia="Times New Roman" w:hAnsi="Arial" w:cs="Arial"/>
        </w:rPr>
        <w:t xml:space="preserve">There have been four CSA managers in the past five years and the program has moved from the Department of Community Services to the County Administrator’s Office and back again. Despite these changes, CSA operations have improved with the evolutions of program operations and current staff are well-trained and very knowledgeable. </w:t>
      </w:r>
    </w:p>
    <w:p w14:paraId="4A5BC079" w14:textId="72CDA63F" w:rsidR="002F58ED" w:rsidRPr="002F58ED" w:rsidRDefault="002F58ED" w:rsidP="00723D59">
      <w:pPr>
        <w:spacing w:after="120" w:line="240" w:lineRule="auto"/>
        <w:rPr>
          <w:rFonts w:ascii="Arial" w:eastAsia="Times New Roman" w:hAnsi="Arial" w:cs="Arial"/>
        </w:rPr>
      </w:pPr>
      <w:r w:rsidRPr="002F58ED">
        <w:rPr>
          <w:rFonts w:ascii="Arial" w:eastAsia="Calibri" w:hAnsi="Arial" w:cs="Arial"/>
          <w:iCs w:val="0"/>
        </w:rPr>
        <w:t xml:space="preserve">The </w:t>
      </w:r>
      <w:r w:rsidR="009420E8">
        <w:rPr>
          <w:rFonts w:ascii="Arial" w:eastAsia="Calibri" w:hAnsi="Arial" w:cs="Arial"/>
          <w:iCs w:val="0"/>
        </w:rPr>
        <w:t xml:space="preserve">El Macero </w:t>
      </w:r>
      <w:r w:rsidRPr="002F58ED">
        <w:rPr>
          <w:rFonts w:ascii="Arial" w:eastAsia="Calibri" w:hAnsi="Arial" w:cs="Arial"/>
          <w:iCs w:val="0"/>
        </w:rPr>
        <w:t xml:space="preserve">CSA is included in the annual audit of the County’s </w:t>
      </w:r>
      <w:r w:rsidR="00994939">
        <w:rPr>
          <w:rFonts w:ascii="Arial" w:eastAsia="Calibri" w:hAnsi="Arial" w:cs="Arial"/>
          <w:iCs w:val="0"/>
        </w:rPr>
        <w:t xml:space="preserve">Annual </w:t>
      </w:r>
      <w:r w:rsidRPr="002F58ED">
        <w:rPr>
          <w:rFonts w:ascii="Arial" w:eastAsia="Calibri" w:hAnsi="Arial" w:cs="Arial"/>
          <w:iCs w:val="0"/>
        </w:rPr>
        <w:t>Comprehensive Financial Report (</w:t>
      </w:r>
      <w:r w:rsidR="00994939">
        <w:rPr>
          <w:rFonts w:ascii="Arial" w:eastAsia="Calibri" w:hAnsi="Arial" w:cs="Arial"/>
          <w:iCs w:val="0"/>
        </w:rPr>
        <w:t>A</w:t>
      </w:r>
      <w:r w:rsidRPr="002F58ED">
        <w:rPr>
          <w:rFonts w:ascii="Arial" w:eastAsia="Calibri" w:hAnsi="Arial" w:cs="Arial"/>
          <w:iCs w:val="0"/>
        </w:rPr>
        <w:t xml:space="preserve">CFR). The CSA is reported as a blended component unit and accounted for as a special revenue fund. According to the State Controller’s Office, the County’s audited </w:t>
      </w:r>
      <w:r w:rsidR="00994939">
        <w:rPr>
          <w:rFonts w:ascii="Arial" w:eastAsia="Calibri" w:hAnsi="Arial" w:cs="Arial"/>
          <w:iCs w:val="0"/>
        </w:rPr>
        <w:t>AC</w:t>
      </w:r>
      <w:r w:rsidRPr="002F58ED">
        <w:rPr>
          <w:rFonts w:ascii="Arial" w:eastAsia="Calibri" w:hAnsi="Arial" w:cs="Arial"/>
          <w:iCs w:val="0"/>
        </w:rPr>
        <w:t xml:space="preserve">FR meets general audit requirements and the </w:t>
      </w:r>
      <w:r w:rsidR="00994939">
        <w:rPr>
          <w:rFonts w:ascii="Arial" w:eastAsia="Calibri" w:hAnsi="Arial" w:cs="Arial"/>
          <w:iCs w:val="0"/>
        </w:rPr>
        <w:t>AC</w:t>
      </w:r>
      <w:r w:rsidRPr="002F58ED">
        <w:rPr>
          <w:rFonts w:ascii="Arial" w:eastAsia="Calibri" w:hAnsi="Arial" w:cs="Arial"/>
          <w:iCs w:val="0"/>
        </w:rPr>
        <w:t>FR satisfies the requirements of Government Code 25214(c) and 26909</w:t>
      </w:r>
      <w:r w:rsidRPr="002F58ED">
        <w:rPr>
          <w:rFonts w:ascii="Arial" w:eastAsia="Calibri" w:hAnsi="Arial" w:cs="Arial"/>
          <w:iCs w:val="0"/>
          <w:vertAlign w:val="superscript"/>
        </w:rPr>
        <w:footnoteReference w:id="6"/>
      </w:r>
      <w:r w:rsidRPr="002F58ED">
        <w:rPr>
          <w:rFonts w:ascii="Arial" w:eastAsia="Calibri" w:hAnsi="Arial" w:cs="Arial"/>
          <w:iCs w:val="0"/>
        </w:rPr>
        <w:t xml:space="preserve">. </w:t>
      </w:r>
      <w:r w:rsidR="00994939">
        <w:rPr>
          <w:rFonts w:ascii="Arial" w:eastAsia="Calibri" w:hAnsi="Arial" w:cs="Arial"/>
          <w:iCs w:val="0"/>
        </w:rPr>
        <w:t>In June 2021, the El Macero Owners for Fair Taxes filed a complaint in Yolo County Superior Court alleging Yolo County is required to audit the EM CSA separately, rather than as a blended component of the County’s audit (</w:t>
      </w:r>
      <w:r w:rsidR="00994939" w:rsidRPr="00C30626">
        <w:rPr>
          <w:rFonts w:ascii="Arial" w:eastAsia="Calibri" w:hAnsi="Arial" w:cs="Arial"/>
          <w:iCs w:val="0"/>
        </w:rPr>
        <w:t>the</w:t>
      </w:r>
      <w:r w:rsidR="00994939">
        <w:rPr>
          <w:rFonts w:ascii="Arial" w:eastAsia="Calibri" w:hAnsi="Arial" w:cs="Arial"/>
          <w:iCs w:val="0"/>
        </w:rPr>
        <w:t xml:space="preserve"> </w:t>
      </w:r>
      <w:r w:rsidR="00C30626">
        <w:rPr>
          <w:rFonts w:ascii="Arial" w:eastAsia="Calibri" w:hAnsi="Arial" w:cs="Arial"/>
          <w:iCs w:val="0"/>
        </w:rPr>
        <w:t>Court denied the petition</w:t>
      </w:r>
      <w:r w:rsidR="00994939">
        <w:rPr>
          <w:rFonts w:ascii="Arial" w:eastAsia="Calibri" w:hAnsi="Arial" w:cs="Arial"/>
          <w:iCs w:val="0"/>
        </w:rPr>
        <w:t xml:space="preserve">). </w:t>
      </w:r>
      <w:r w:rsidRPr="002F58ED">
        <w:rPr>
          <w:rFonts w:ascii="Arial" w:eastAsia="Times New Roman" w:hAnsi="Arial" w:cs="Arial"/>
        </w:rPr>
        <w:t xml:space="preserve">The EMCSA received an </w:t>
      </w:r>
      <w:r w:rsidR="00D54D67">
        <w:rPr>
          <w:rFonts w:ascii="Arial" w:eastAsia="Times New Roman" w:hAnsi="Arial" w:cs="Arial"/>
        </w:rPr>
        <w:t>94</w:t>
      </w:r>
      <w:r w:rsidRPr="002F58ED">
        <w:rPr>
          <w:rFonts w:ascii="Arial" w:eastAsia="Times New Roman" w:hAnsi="Arial" w:cs="Arial"/>
        </w:rPr>
        <w:t xml:space="preserve">% </w:t>
      </w:r>
      <w:r w:rsidR="00D1368D">
        <w:rPr>
          <w:rFonts w:ascii="Arial" w:eastAsia="Times New Roman" w:hAnsi="Arial" w:cs="Arial"/>
        </w:rPr>
        <w:t xml:space="preserve">website </w:t>
      </w:r>
      <w:r w:rsidRPr="002F58ED">
        <w:rPr>
          <w:rFonts w:ascii="Arial" w:eastAsia="Times New Roman" w:hAnsi="Arial" w:cs="Arial"/>
        </w:rPr>
        <w:t>transparency score in 202</w:t>
      </w:r>
      <w:r w:rsidR="00D54D67">
        <w:rPr>
          <w:rFonts w:ascii="Arial" w:eastAsia="Times New Roman" w:hAnsi="Arial" w:cs="Arial"/>
        </w:rPr>
        <w:t>1</w:t>
      </w:r>
      <w:r w:rsidR="00D1368D">
        <w:rPr>
          <w:rStyle w:val="FootnoteReference"/>
          <w:rFonts w:ascii="Arial" w:eastAsia="Times New Roman" w:hAnsi="Arial" w:cs="Arial"/>
        </w:rPr>
        <w:footnoteReference w:id="7"/>
      </w:r>
      <w:r w:rsidRPr="002F58ED">
        <w:rPr>
          <w:rFonts w:ascii="Arial" w:eastAsia="Times New Roman" w:hAnsi="Arial" w:cs="Arial"/>
        </w:rPr>
        <w:t xml:space="preserve">. </w:t>
      </w:r>
    </w:p>
    <w:p w14:paraId="3CF3C384" w14:textId="684F3AA9" w:rsidR="002F58ED" w:rsidRPr="002F58ED" w:rsidRDefault="002F58ED" w:rsidP="00723D59">
      <w:pPr>
        <w:keepNext/>
        <w:keepLines/>
        <w:spacing w:after="120" w:line="240" w:lineRule="auto"/>
        <w:ind w:left="360" w:hanging="360"/>
        <w:rPr>
          <w:rFonts w:ascii="Arial" w:eastAsia="Times New Roman" w:hAnsi="Arial" w:cs="Arial"/>
          <w:b/>
          <w:i/>
        </w:rPr>
      </w:pPr>
      <w:r w:rsidRPr="002F58ED">
        <w:rPr>
          <w:rFonts w:ascii="Arial" w:eastAsia="Times New Roman" w:hAnsi="Arial" w:cs="Arial"/>
          <w:b/>
        </w:rPr>
        <w:t>Accountability, Structure</w:t>
      </w:r>
      <w:r w:rsidR="005D48A6">
        <w:rPr>
          <w:rFonts w:ascii="Arial" w:eastAsia="Times New Roman" w:hAnsi="Arial" w:cs="Arial"/>
          <w:b/>
        </w:rPr>
        <w:t>,</w:t>
      </w:r>
      <w:r w:rsidRPr="002F58ED">
        <w:rPr>
          <w:rFonts w:ascii="Arial" w:eastAsia="Times New Roman" w:hAnsi="Arial" w:cs="Arial"/>
          <w:b/>
        </w:rPr>
        <w:t xml:space="preserve"> and Efficiencies MSR Determination</w:t>
      </w:r>
    </w:p>
    <w:p w14:paraId="6EA06575" w14:textId="586A70FC" w:rsidR="002F58ED" w:rsidRPr="002F58ED" w:rsidRDefault="002F58ED" w:rsidP="00994939">
      <w:pPr>
        <w:spacing w:after="120" w:line="240" w:lineRule="auto"/>
        <w:rPr>
          <w:rFonts w:ascii="Arial" w:eastAsia="Calibri" w:hAnsi="Arial" w:cs="Arial"/>
          <w:iCs w:val="0"/>
        </w:rPr>
      </w:pPr>
      <w:r w:rsidRPr="002F58ED">
        <w:rPr>
          <w:rFonts w:ascii="Arial" w:eastAsia="Calibri" w:hAnsi="Arial" w:cs="Arial"/>
          <w:iCs w:val="0"/>
        </w:rPr>
        <w:t>The CSA is covered by County governance</w:t>
      </w:r>
      <w:r w:rsidR="005D48A6">
        <w:rPr>
          <w:rFonts w:ascii="Arial" w:eastAsia="Calibri" w:hAnsi="Arial" w:cs="Arial"/>
          <w:iCs w:val="0"/>
        </w:rPr>
        <w:t xml:space="preserve"> and</w:t>
      </w:r>
      <w:r w:rsidRPr="002F58ED">
        <w:rPr>
          <w:rFonts w:ascii="Arial" w:eastAsia="Calibri" w:hAnsi="Arial" w:cs="Arial"/>
          <w:iCs w:val="0"/>
        </w:rPr>
        <w:t xml:space="preserve"> policies and </w:t>
      </w:r>
      <w:r w:rsidR="005D48A6">
        <w:rPr>
          <w:rFonts w:ascii="Arial" w:eastAsia="Calibri" w:hAnsi="Arial" w:cs="Arial"/>
          <w:iCs w:val="0"/>
        </w:rPr>
        <w:t xml:space="preserve">is </w:t>
      </w:r>
      <w:r w:rsidRPr="002F58ED">
        <w:rPr>
          <w:rFonts w:ascii="Arial" w:eastAsia="Calibri" w:hAnsi="Arial" w:cs="Arial"/>
          <w:iCs w:val="0"/>
        </w:rPr>
        <w:t xml:space="preserve">included in the County’s annual audit. Although CSA operations have had four managers in the past five years and under two departments, CSA operations have improved with the evolutions of program operations and current staff are well-trained and very knowledgeable. </w:t>
      </w:r>
      <w:r w:rsidR="00994939">
        <w:rPr>
          <w:rFonts w:ascii="Arial" w:eastAsia="Calibri" w:hAnsi="Arial" w:cs="Arial"/>
          <w:iCs w:val="0"/>
        </w:rPr>
        <w:t xml:space="preserve">There have been complaints from a few residents regarding the advisory committee and term limits, however </w:t>
      </w:r>
      <w:r w:rsidR="00994939" w:rsidRPr="00994939">
        <w:rPr>
          <w:rFonts w:ascii="Arial" w:eastAsia="Calibri" w:hAnsi="Arial" w:cs="Arial"/>
          <w:iCs w:val="0"/>
        </w:rPr>
        <w:t>it’s within the purview of the BOS to decide if and how it provide</w:t>
      </w:r>
      <w:r w:rsidR="00994939">
        <w:rPr>
          <w:rFonts w:ascii="Arial" w:eastAsia="Calibri" w:hAnsi="Arial" w:cs="Arial"/>
          <w:iCs w:val="0"/>
        </w:rPr>
        <w:t>s</w:t>
      </w:r>
      <w:r w:rsidR="00994939" w:rsidRPr="00994939">
        <w:rPr>
          <w:rFonts w:ascii="Arial" w:eastAsia="Calibri" w:hAnsi="Arial" w:cs="Arial"/>
          <w:iCs w:val="0"/>
        </w:rPr>
        <w:t xml:space="preserve"> for</w:t>
      </w:r>
      <w:r w:rsidR="00994939">
        <w:rPr>
          <w:rFonts w:ascii="Arial" w:eastAsia="Calibri" w:hAnsi="Arial" w:cs="Arial"/>
          <w:iCs w:val="0"/>
        </w:rPr>
        <w:t xml:space="preserve"> </w:t>
      </w:r>
      <w:r w:rsidR="00994939" w:rsidRPr="00994939">
        <w:rPr>
          <w:rFonts w:ascii="Arial" w:eastAsia="Calibri" w:hAnsi="Arial" w:cs="Arial"/>
          <w:iCs w:val="0"/>
        </w:rPr>
        <w:t>appointment, qualifications, terms, procedures, meetings, and ethical conduct of the members</w:t>
      </w:r>
      <w:r w:rsidR="00994939">
        <w:rPr>
          <w:rFonts w:ascii="Arial" w:eastAsia="Calibri" w:hAnsi="Arial" w:cs="Arial"/>
          <w:iCs w:val="0"/>
        </w:rPr>
        <w:t>.</w:t>
      </w:r>
    </w:p>
    <w:p w14:paraId="7B274916" w14:textId="067D6810" w:rsidR="005D48A6" w:rsidRDefault="002F58ED" w:rsidP="00723D59">
      <w:pPr>
        <w:spacing w:after="120" w:line="240" w:lineRule="auto"/>
        <w:rPr>
          <w:rFonts w:ascii="Arial" w:eastAsia="Calibri" w:hAnsi="Arial" w:cs="Arial"/>
          <w:iCs w:val="0"/>
        </w:rPr>
      </w:pPr>
      <w:r w:rsidRPr="002F58ED">
        <w:rPr>
          <w:rFonts w:ascii="Arial" w:eastAsia="Times New Roman" w:hAnsi="Arial" w:cs="Arial"/>
        </w:rPr>
        <w:t xml:space="preserve">Changes to the EMCAS’s operations to provide for direct City billing for water and sewer services would improve accountability and efficiency. </w:t>
      </w:r>
      <w:r w:rsidRPr="002F58ED">
        <w:rPr>
          <w:rFonts w:ascii="Arial" w:eastAsia="Calibri" w:hAnsi="Arial" w:cs="Arial"/>
          <w:iCs w:val="0"/>
        </w:rPr>
        <w:t>The E</w:t>
      </w:r>
      <w:r w:rsidR="005D48A6">
        <w:rPr>
          <w:rFonts w:ascii="Arial" w:eastAsia="Calibri" w:hAnsi="Arial" w:cs="Arial"/>
          <w:iCs w:val="0"/>
        </w:rPr>
        <w:t xml:space="preserve">l </w:t>
      </w:r>
      <w:r w:rsidRPr="002F58ED">
        <w:rPr>
          <w:rFonts w:ascii="Arial" w:eastAsia="Calibri" w:hAnsi="Arial" w:cs="Arial"/>
          <w:iCs w:val="0"/>
        </w:rPr>
        <w:t>M</w:t>
      </w:r>
      <w:r w:rsidR="005D48A6">
        <w:rPr>
          <w:rFonts w:ascii="Arial" w:eastAsia="Calibri" w:hAnsi="Arial" w:cs="Arial"/>
          <w:iCs w:val="0"/>
        </w:rPr>
        <w:t xml:space="preserve">acero </w:t>
      </w:r>
      <w:r w:rsidRPr="002F58ED">
        <w:rPr>
          <w:rFonts w:ascii="Arial" w:eastAsia="Calibri" w:hAnsi="Arial" w:cs="Arial"/>
          <w:iCs w:val="0"/>
        </w:rPr>
        <w:t xml:space="preserve">CSA pays the water charges to the City in advance of collecting the amounts from the residents, creating a structural deficit each year. Cash </w:t>
      </w:r>
      <w:r w:rsidR="005D48A6">
        <w:rPr>
          <w:rFonts w:ascii="Arial" w:eastAsia="Calibri" w:hAnsi="Arial" w:cs="Arial"/>
          <w:iCs w:val="0"/>
        </w:rPr>
        <w:t>reserves</w:t>
      </w:r>
      <w:r w:rsidR="005D48A6" w:rsidRPr="002F58ED">
        <w:rPr>
          <w:rFonts w:ascii="Arial" w:eastAsia="Calibri" w:hAnsi="Arial" w:cs="Arial"/>
          <w:iCs w:val="0"/>
        </w:rPr>
        <w:t xml:space="preserve"> </w:t>
      </w:r>
      <w:r w:rsidRPr="002F58ED">
        <w:rPr>
          <w:rFonts w:ascii="Arial" w:eastAsia="Calibri" w:hAnsi="Arial" w:cs="Arial"/>
          <w:iCs w:val="0"/>
        </w:rPr>
        <w:t xml:space="preserve">from the </w:t>
      </w:r>
      <w:r w:rsidRPr="002F58ED">
        <w:rPr>
          <w:rFonts w:ascii="Arial" w:eastAsia="Calibri" w:hAnsi="Arial" w:cs="Arial"/>
          <w:iCs w:val="0"/>
        </w:rPr>
        <w:lastRenderedPageBreak/>
        <w:t>operations fund is used to float during these timing differences to alleviate the need to borrow funds. This practice is inefficient and leaves the EMCSA somewhat at risk financially. In addition, new homeowners end up paying for the water usage of previous residents, which is inequitable. And paying water charges annually on a property tax bill undermines water conservation efforts. For all these reasons, LAFCo again recommends the City bill E</w:t>
      </w:r>
      <w:r w:rsidR="005D48A6">
        <w:rPr>
          <w:rFonts w:ascii="Arial" w:eastAsia="Calibri" w:hAnsi="Arial" w:cs="Arial"/>
          <w:iCs w:val="0"/>
        </w:rPr>
        <w:t xml:space="preserve">l </w:t>
      </w:r>
      <w:r w:rsidRPr="002F58ED">
        <w:rPr>
          <w:rFonts w:ascii="Arial" w:eastAsia="Calibri" w:hAnsi="Arial" w:cs="Arial"/>
          <w:iCs w:val="0"/>
        </w:rPr>
        <w:t>M</w:t>
      </w:r>
      <w:r w:rsidR="005D48A6">
        <w:rPr>
          <w:rFonts w:ascii="Arial" w:eastAsia="Calibri" w:hAnsi="Arial" w:cs="Arial"/>
          <w:iCs w:val="0"/>
        </w:rPr>
        <w:t xml:space="preserve">acero </w:t>
      </w:r>
      <w:r w:rsidRPr="002F58ED">
        <w:rPr>
          <w:rFonts w:ascii="Arial" w:eastAsia="Calibri" w:hAnsi="Arial" w:cs="Arial"/>
          <w:iCs w:val="0"/>
        </w:rPr>
        <w:t>CSA residents directly for water and sewer fees</w:t>
      </w:r>
      <w:r w:rsidR="005D48A6">
        <w:rPr>
          <w:rFonts w:ascii="Arial" w:eastAsia="Calibri" w:hAnsi="Arial" w:cs="Arial"/>
          <w:iCs w:val="0"/>
        </w:rPr>
        <w:t>, rather than through the CSA</w:t>
      </w:r>
      <w:r w:rsidRPr="002F58ED">
        <w:rPr>
          <w:rFonts w:ascii="Arial" w:eastAsia="Calibri" w:hAnsi="Arial" w:cs="Arial"/>
          <w:iCs w:val="0"/>
        </w:rPr>
        <w:t xml:space="preserve">. </w:t>
      </w:r>
    </w:p>
    <w:p w14:paraId="1E7F8B79" w14:textId="77777777" w:rsidR="002F58ED" w:rsidRPr="002F58ED" w:rsidRDefault="002F58ED" w:rsidP="00723D59">
      <w:pPr>
        <w:keepNext/>
        <w:keepLines/>
        <w:spacing w:after="120" w:line="240" w:lineRule="auto"/>
        <w:ind w:left="360" w:hanging="360"/>
        <w:rPr>
          <w:rFonts w:ascii="Arial" w:eastAsia="Times New Roman" w:hAnsi="Arial" w:cs="Arial"/>
          <w:b/>
          <w:i/>
        </w:rPr>
      </w:pPr>
      <w:r w:rsidRPr="002F58ED">
        <w:rPr>
          <w:rFonts w:ascii="Arial" w:eastAsia="Times New Roman" w:hAnsi="Arial" w:cs="Arial"/>
          <w:b/>
        </w:rPr>
        <w:t>Accountability, Structure and Efficiencies MSR Recommendation(s)</w:t>
      </w:r>
    </w:p>
    <w:p w14:paraId="1E165B41" w14:textId="64D7D0B7" w:rsidR="002F58ED" w:rsidRPr="00D1368D" w:rsidRDefault="002F58ED" w:rsidP="00723D59">
      <w:pPr>
        <w:numPr>
          <w:ilvl w:val="0"/>
          <w:numId w:val="28"/>
        </w:numPr>
        <w:spacing w:after="120" w:line="240" w:lineRule="auto"/>
        <w:rPr>
          <w:rFonts w:ascii="Arial" w:eastAsia="Calibri" w:hAnsi="Arial" w:cs="Arial"/>
          <w:iCs w:val="0"/>
        </w:rPr>
      </w:pPr>
      <w:bookmarkStart w:id="23" w:name="_Hlk117934616"/>
      <w:r w:rsidRPr="002F58ED">
        <w:rPr>
          <w:rFonts w:ascii="Arial" w:eastAsia="Times New Roman" w:hAnsi="Arial" w:cs="Arial"/>
        </w:rPr>
        <w:t xml:space="preserve">Amend the current </w:t>
      </w:r>
      <w:r w:rsidR="00705F2A">
        <w:rPr>
          <w:rFonts w:ascii="Arial" w:eastAsia="Times New Roman" w:hAnsi="Arial" w:cs="Arial"/>
        </w:rPr>
        <w:t xml:space="preserve">CSA </w:t>
      </w:r>
      <w:r w:rsidRPr="002F58ED">
        <w:rPr>
          <w:rFonts w:ascii="Arial" w:eastAsia="Times New Roman" w:hAnsi="Arial" w:cs="Arial"/>
        </w:rPr>
        <w:t xml:space="preserve">contracts to provide for direct billing for </w:t>
      </w:r>
      <w:r w:rsidR="00C424E8">
        <w:rPr>
          <w:rFonts w:ascii="Arial" w:eastAsia="Times New Roman" w:hAnsi="Arial" w:cs="Arial"/>
        </w:rPr>
        <w:t xml:space="preserve">water and sewer </w:t>
      </w:r>
      <w:r w:rsidRPr="002F58ED">
        <w:rPr>
          <w:rFonts w:ascii="Arial" w:eastAsia="Times New Roman" w:hAnsi="Arial" w:cs="Arial"/>
        </w:rPr>
        <w:t xml:space="preserve">services by the City of Davis to El Macero residents. </w:t>
      </w:r>
      <w:r w:rsidR="00C424E8" w:rsidRPr="00C424E8">
        <w:rPr>
          <w:rFonts w:ascii="Arial" w:eastAsia="Times New Roman" w:hAnsi="Arial" w:cs="Arial"/>
        </w:rPr>
        <w:t xml:space="preserve">The sewer charges </w:t>
      </w:r>
      <w:r w:rsidR="00B879DC">
        <w:rPr>
          <w:rFonts w:ascii="Arial" w:eastAsia="Times New Roman" w:hAnsi="Arial" w:cs="Arial"/>
        </w:rPr>
        <w:t>must</w:t>
      </w:r>
      <w:r w:rsidR="00C424E8" w:rsidRPr="00C424E8">
        <w:rPr>
          <w:rFonts w:ascii="Arial" w:eastAsia="Times New Roman" w:hAnsi="Arial" w:cs="Arial"/>
        </w:rPr>
        <w:t xml:space="preserve"> reflect the 2015 amendment to Agreement No. 75-97 settling the billing dispute</w:t>
      </w:r>
      <w:r w:rsidR="005C2F21">
        <w:rPr>
          <w:rFonts w:ascii="Arial" w:eastAsia="Times New Roman" w:hAnsi="Arial" w:cs="Arial"/>
        </w:rPr>
        <w:t>.</w:t>
      </w:r>
    </w:p>
    <w:bookmarkEnd w:id="23"/>
    <w:p w14:paraId="71B25734" w14:textId="77777777" w:rsidR="00D1368D" w:rsidRPr="002F58ED" w:rsidRDefault="00D1368D" w:rsidP="00723D59">
      <w:pPr>
        <w:spacing w:after="120" w:line="240" w:lineRule="auto"/>
        <w:rPr>
          <w:rFonts w:ascii="Arial" w:eastAsia="Calibri" w:hAnsi="Arial" w:cs="Arial"/>
          <w:iCs w:val="0"/>
        </w:rPr>
      </w:pP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4"/>
        <w:gridCol w:w="1152"/>
        <w:gridCol w:w="1152"/>
        <w:gridCol w:w="1156"/>
      </w:tblGrid>
      <w:tr w:rsidR="00BB0775" w:rsidRPr="00AE605B" w14:paraId="6BB5A6F9" w14:textId="77777777" w:rsidTr="00C054B6">
        <w:trPr>
          <w:cantSplit/>
        </w:trPr>
        <w:tc>
          <w:tcPr>
            <w:tcW w:w="9504" w:type="dxa"/>
            <w:gridSpan w:val="4"/>
            <w:tcBorders>
              <w:top w:val="single" w:sz="12" w:space="0" w:color="auto"/>
            </w:tcBorders>
            <w:shd w:val="clear" w:color="auto" w:fill="D9D9D9"/>
          </w:tcPr>
          <w:p w14:paraId="19BD3E4C" w14:textId="0A645720" w:rsidR="00BB0775" w:rsidRPr="005D4AC7" w:rsidRDefault="00BB0775" w:rsidP="00D54D67">
            <w:pPr>
              <w:pStyle w:val="Heading3"/>
              <w:keepNext/>
              <w:outlineLvl w:val="2"/>
              <w:rPr>
                <w:color w:val="auto"/>
              </w:rPr>
            </w:pPr>
            <w:bookmarkStart w:id="24" w:name="_Toc108186093"/>
            <w:r w:rsidRPr="005D4AC7">
              <w:rPr>
                <w:color w:val="auto"/>
              </w:rPr>
              <w:t>7</w:t>
            </w:r>
            <w:r w:rsidR="00300020">
              <w:rPr>
                <w:color w:val="auto"/>
              </w:rPr>
              <w:t>a</w:t>
            </w:r>
            <w:r w:rsidRPr="005D4AC7">
              <w:rPr>
                <w:color w:val="auto"/>
              </w:rPr>
              <w:t>. B</w:t>
            </w:r>
            <w:r w:rsidR="005D4AC7" w:rsidRPr="005D4AC7">
              <w:rPr>
                <w:color w:val="auto"/>
              </w:rPr>
              <w:t>roadband Access</w:t>
            </w:r>
            <w:bookmarkEnd w:id="24"/>
          </w:p>
          <w:p w14:paraId="0C0B9A77" w14:textId="77777777" w:rsidR="00BB0775" w:rsidRDefault="00BB0775" w:rsidP="00D54D67">
            <w:pPr>
              <w:keepNext/>
              <w:spacing w:after="120" w:line="240" w:lineRule="auto"/>
              <w:rPr>
                <w:rFonts w:ascii="Arial" w:hAnsi="Arial" w:cs="Arial"/>
                <w:sz w:val="19"/>
                <w:szCs w:val="19"/>
              </w:rPr>
            </w:pPr>
            <w:r w:rsidRPr="00AE605B">
              <w:rPr>
                <w:rFonts w:ascii="Arial" w:hAnsi="Arial" w:cs="Arial"/>
                <w:sz w:val="19"/>
                <w:szCs w:val="19"/>
              </w:rPr>
              <w:t>Any other matter related to effective or efficient service delivery, as required by commission policy.</w:t>
            </w:r>
            <w:r>
              <w:rPr>
                <w:rFonts w:ascii="Arial" w:hAnsi="Arial" w:cs="Arial"/>
                <w:sz w:val="19"/>
                <w:szCs w:val="19"/>
              </w:rPr>
              <w:t xml:space="preserve"> </w:t>
            </w:r>
          </w:p>
          <w:p w14:paraId="34318B31" w14:textId="77777777" w:rsidR="00BB0775" w:rsidRPr="00AE605B" w:rsidRDefault="00BB0775" w:rsidP="00D54D67">
            <w:pPr>
              <w:keepNext/>
              <w:spacing w:after="120" w:line="240" w:lineRule="auto"/>
              <w:rPr>
                <w:rFonts w:ascii="Arial" w:hAnsi="Arial" w:cs="Arial"/>
                <w:b/>
                <w:i/>
                <w:sz w:val="19"/>
                <w:szCs w:val="19"/>
              </w:rPr>
            </w:pPr>
            <w:r>
              <w:rPr>
                <w:rFonts w:ascii="Arial" w:hAnsi="Arial" w:cs="Arial"/>
                <w:sz w:val="19"/>
                <w:szCs w:val="19"/>
              </w:rPr>
              <w:t>Per Yolo LAFCo Project Policy 6.2 “</w:t>
            </w:r>
            <w:r w:rsidRPr="008A7CD9">
              <w:rPr>
                <w:rFonts w:ascii="Arial" w:hAnsi="Arial" w:cs="Arial"/>
                <w:i/>
                <w:sz w:val="19"/>
                <w:szCs w:val="19"/>
              </w:rPr>
              <w:t>it is the intent of Yolo LAFCo to comprehensively review broadband access in MSRs of local agencies that either serve communities and/or provide emergency services where broadband connection is critical (</w:t>
            </w:r>
            <w:proofErr w:type="gramStart"/>
            <w:r w:rsidRPr="008A7CD9">
              <w:rPr>
                <w:rFonts w:ascii="Arial" w:hAnsi="Arial" w:cs="Arial"/>
                <w:i/>
                <w:sz w:val="19"/>
                <w:szCs w:val="19"/>
              </w:rPr>
              <w:t>i.e.</w:t>
            </w:r>
            <w:proofErr w:type="gramEnd"/>
            <w:r w:rsidRPr="008A7CD9">
              <w:rPr>
                <w:rFonts w:ascii="Arial" w:hAnsi="Arial" w:cs="Arial"/>
                <w:i/>
                <w:sz w:val="19"/>
                <w:szCs w:val="19"/>
              </w:rPr>
              <w:t xml:space="preserve"> cities, </w:t>
            </w:r>
            <w:r>
              <w:rPr>
                <w:rFonts w:ascii="Arial" w:hAnsi="Arial" w:cs="Arial"/>
                <w:i/>
                <w:sz w:val="19"/>
                <w:szCs w:val="19"/>
              </w:rPr>
              <w:t>CSDs</w:t>
            </w:r>
            <w:r w:rsidRPr="008A7CD9">
              <w:rPr>
                <w:rFonts w:ascii="Arial" w:hAnsi="Arial" w:cs="Arial"/>
                <w:i/>
                <w:sz w:val="19"/>
                <w:szCs w:val="19"/>
              </w:rPr>
              <w:t xml:space="preserve">, </w:t>
            </w:r>
            <w:r>
              <w:rPr>
                <w:rFonts w:ascii="Arial" w:hAnsi="Arial" w:cs="Arial"/>
                <w:i/>
                <w:sz w:val="19"/>
                <w:szCs w:val="19"/>
              </w:rPr>
              <w:t>CSAs</w:t>
            </w:r>
            <w:r w:rsidRPr="008A7CD9">
              <w:rPr>
                <w:rFonts w:ascii="Arial" w:hAnsi="Arial" w:cs="Arial"/>
                <w:i/>
                <w:sz w:val="19"/>
                <w:szCs w:val="19"/>
              </w:rPr>
              <w:t xml:space="preserve">, </w:t>
            </w:r>
            <w:r>
              <w:rPr>
                <w:rFonts w:ascii="Arial" w:hAnsi="Arial" w:cs="Arial"/>
                <w:i/>
                <w:sz w:val="19"/>
                <w:szCs w:val="19"/>
              </w:rPr>
              <w:t>FPDs</w:t>
            </w:r>
            <w:r w:rsidRPr="008A7CD9">
              <w:rPr>
                <w:rFonts w:ascii="Arial" w:hAnsi="Arial" w:cs="Arial"/>
                <w:i/>
                <w:sz w:val="19"/>
                <w:szCs w:val="19"/>
              </w:rPr>
              <w:t xml:space="preserve"> and </w:t>
            </w:r>
            <w:r>
              <w:rPr>
                <w:rFonts w:ascii="Arial" w:hAnsi="Arial" w:cs="Arial"/>
                <w:i/>
                <w:sz w:val="19"/>
                <w:szCs w:val="19"/>
              </w:rPr>
              <w:t>RDs</w:t>
            </w:r>
            <w:r w:rsidRPr="008A7CD9">
              <w:rPr>
                <w:rFonts w:ascii="Arial" w:hAnsi="Arial" w:cs="Arial"/>
                <w:i/>
                <w:sz w:val="19"/>
                <w:szCs w:val="19"/>
              </w:rPr>
              <w:t>).</w:t>
            </w:r>
            <w:r>
              <w:rPr>
                <w:rFonts w:ascii="Arial" w:hAnsi="Arial" w:cs="Arial"/>
                <w:i/>
                <w:sz w:val="19"/>
                <w:szCs w:val="19"/>
              </w:rPr>
              <w:t>”</w:t>
            </w:r>
          </w:p>
        </w:tc>
      </w:tr>
      <w:tr w:rsidR="008F118C" w:rsidRPr="00AE605B" w14:paraId="3D85861B" w14:textId="77777777" w:rsidTr="00C054B6">
        <w:trPr>
          <w:cantSplit/>
          <w:trHeight w:val="144"/>
        </w:trPr>
        <w:tc>
          <w:tcPr>
            <w:tcW w:w="6044" w:type="dxa"/>
            <w:tcBorders>
              <w:bottom w:val="single" w:sz="12" w:space="0" w:color="auto"/>
            </w:tcBorders>
            <w:shd w:val="clear" w:color="auto" w:fill="D9D9D9"/>
            <w:vAlign w:val="bottom"/>
          </w:tcPr>
          <w:p w14:paraId="32D385EF" w14:textId="77777777" w:rsidR="008F118C" w:rsidRPr="00AE605B" w:rsidRDefault="008F118C" w:rsidP="00D54D67">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77C5F5D1" w14:textId="6842D353"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bottom w:val="single" w:sz="12" w:space="0" w:color="auto"/>
            </w:tcBorders>
            <w:shd w:val="clear" w:color="auto" w:fill="D9D9D9"/>
            <w:vAlign w:val="bottom"/>
          </w:tcPr>
          <w:p w14:paraId="00744485" w14:textId="55CA172C"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6" w:type="dxa"/>
            <w:tcBorders>
              <w:bottom w:val="single" w:sz="12" w:space="0" w:color="auto"/>
            </w:tcBorders>
            <w:shd w:val="clear" w:color="auto" w:fill="D9D9D9"/>
            <w:vAlign w:val="bottom"/>
          </w:tcPr>
          <w:p w14:paraId="077563E2" w14:textId="0FFC3A89"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BB0775" w:rsidRPr="00AE605B" w14:paraId="30C8C15A" w14:textId="77777777" w:rsidTr="009762DA">
        <w:trPr>
          <w:cantSplit/>
        </w:trPr>
        <w:tc>
          <w:tcPr>
            <w:tcW w:w="6044" w:type="dxa"/>
            <w:tcBorders>
              <w:top w:val="single" w:sz="12" w:space="0" w:color="auto"/>
              <w:bottom w:val="single" w:sz="4" w:space="0" w:color="auto"/>
            </w:tcBorders>
            <w:vAlign w:val="center"/>
          </w:tcPr>
          <w:p w14:paraId="46769735" w14:textId="77777777" w:rsidR="00BB0775" w:rsidRPr="00AE605B" w:rsidRDefault="00BB0775" w:rsidP="00D54D67">
            <w:pPr>
              <w:keepNext/>
              <w:numPr>
                <w:ilvl w:val="0"/>
                <w:numId w:val="4"/>
              </w:numPr>
              <w:spacing w:before="60" w:after="60" w:line="240" w:lineRule="auto"/>
              <w:rPr>
                <w:rFonts w:ascii="Arial" w:hAnsi="Arial" w:cs="Arial"/>
                <w:i/>
                <w:sz w:val="19"/>
                <w:szCs w:val="19"/>
              </w:rPr>
            </w:pPr>
            <w:r w:rsidRPr="00450269">
              <w:rPr>
                <w:rFonts w:ascii="Arial" w:hAnsi="Arial" w:cs="Arial"/>
                <w:i/>
                <w:sz w:val="19"/>
                <w:szCs w:val="19"/>
              </w:rPr>
              <w:t xml:space="preserve">Is there a lack of high-performance broadband (25/3 </w:t>
            </w:r>
            <w:r>
              <w:rPr>
                <w:rFonts w:ascii="Arial" w:hAnsi="Arial" w:cs="Arial"/>
                <w:i/>
                <w:sz w:val="19"/>
                <w:szCs w:val="19"/>
              </w:rPr>
              <w:t>Mbps) available in the community</w:t>
            </w:r>
            <w:r w:rsidRPr="00AE605B">
              <w:rPr>
                <w:rFonts w:ascii="Arial" w:hAnsi="Arial" w:cs="Arial"/>
                <w:i/>
                <w:sz w:val="19"/>
                <w:szCs w:val="19"/>
              </w:rPr>
              <w:t>?</w:t>
            </w:r>
          </w:p>
        </w:tc>
        <w:tc>
          <w:tcPr>
            <w:tcW w:w="1152" w:type="dxa"/>
            <w:tcBorders>
              <w:top w:val="single" w:sz="12" w:space="0" w:color="auto"/>
              <w:bottom w:val="single" w:sz="4" w:space="0" w:color="auto"/>
            </w:tcBorders>
            <w:vAlign w:val="center"/>
          </w:tcPr>
          <w:p w14:paraId="4E93A2DF" w14:textId="77777777" w:rsidR="00BB0775" w:rsidRPr="00AE605B" w:rsidRDefault="00BB0775"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2" w:type="dxa"/>
            <w:tcBorders>
              <w:top w:val="single" w:sz="12" w:space="0" w:color="auto"/>
              <w:bottom w:val="single" w:sz="4" w:space="0" w:color="auto"/>
            </w:tcBorders>
            <w:vAlign w:val="center"/>
          </w:tcPr>
          <w:p w14:paraId="10DC1DF4" w14:textId="56276671" w:rsidR="00BB0775" w:rsidRPr="00AE605B" w:rsidRDefault="000734A7"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6" w:type="dxa"/>
            <w:tcBorders>
              <w:top w:val="single" w:sz="12" w:space="0" w:color="auto"/>
              <w:bottom w:val="single" w:sz="4" w:space="0" w:color="auto"/>
            </w:tcBorders>
            <w:vAlign w:val="center"/>
          </w:tcPr>
          <w:p w14:paraId="6775E46B" w14:textId="0F7B9431" w:rsidR="00BB0775" w:rsidRPr="00AE605B" w:rsidRDefault="000734A7"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r w:rsidR="00BB0775" w:rsidRPr="00AE605B" w14:paraId="7BC7E035" w14:textId="77777777" w:rsidTr="009762DA">
        <w:trPr>
          <w:cantSplit/>
        </w:trPr>
        <w:tc>
          <w:tcPr>
            <w:tcW w:w="6044" w:type="dxa"/>
            <w:tcBorders>
              <w:top w:val="single" w:sz="4" w:space="0" w:color="auto"/>
              <w:bottom w:val="single" w:sz="4" w:space="0" w:color="auto"/>
            </w:tcBorders>
            <w:vAlign w:val="center"/>
          </w:tcPr>
          <w:p w14:paraId="20AE636D" w14:textId="77777777" w:rsidR="00BB0775" w:rsidRPr="00450269" w:rsidRDefault="00BB0775" w:rsidP="009762DA">
            <w:pPr>
              <w:numPr>
                <w:ilvl w:val="0"/>
                <w:numId w:val="4"/>
              </w:numPr>
              <w:spacing w:before="60" w:after="60" w:line="240" w:lineRule="auto"/>
              <w:rPr>
                <w:rFonts w:ascii="Arial" w:hAnsi="Arial" w:cs="Arial"/>
                <w:i/>
                <w:sz w:val="19"/>
                <w:szCs w:val="19"/>
              </w:rPr>
            </w:pPr>
            <w:r>
              <w:rPr>
                <w:rFonts w:ascii="Arial" w:hAnsi="Arial" w:cs="Arial"/>
                <w:i/>
                <w:sz w:val="19"/>
                <w:szCs w:val="19"/>
              </w:rPr>
              <w:t>Is there a lack of low-income subscription rates and/or digital literacy programs available?</w:t>
            </w:r>
          </w:p>
        </w:tc>
        <w:tc>
          <w:tcPr>
            <w:tcW w:w="1152" w:type="dxa"/>
            <w:tcBorders>
              <w:top w:val="single" w:sz="4" w:space="0" w:color="auto"/>
              <w:bottom w:val="single" w:sz="4" w:space="0" w:color="auto"/>
            </w:tcBorders>
            <w:vAlign w:val="center"/>
          </w:tcPr>
          <w:p w14:paraId="5D291C3F" w14:textId="77777777" w:rsidR="00BB0775" w:rsidRPr="00AE605B" w:rsidRDefault="00BB0775"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2" w:type="dxa"/>
            <w:tcBorders>
              <w:top w:val="single" w:sz="4" w:space="0" w:color="auto"/>
              <w:bottom w:val="single" w:sz="4" w:space="0" w:color="auto"/>
            </w:tcBorders>
            <w:vAlign w:val="center"/>
          </w:tcPr>
          <w:p w14:paraId="0D2D79F3" w14:textId="77777777" w:rsidR="00BB0775" w:rsidRPr="00AE605B" w:rsidRDefault="00BB0775"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6" w:type="dxa"/>
            <w:tcBorders>
              <w:top w:val="single" w:sz="4" w:space="0" w:color="auto"/>
              <w:bottom w:val="single" w:sz="4" w:space="0" w:color="auto"/>
            </w:tcBorders>
            <w:vAlign w:val="center"/>
          </w:tcPr>
          <w:p w14:paraId="24AC29AF" w14:textId="77777777" w:rsidR="00BB0775" w:rsidRPr="00AE605B" w:rsidRDefault="00BB0775"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3CF2ACDE" w14:textId="0A687BC4" w:rsidR="008F118C" w:rsidRPr="00AE605B" w:rsidRDefault="008F118C" w:rsidP="00723D59">
      <w:pPr>
        <w:keepNext/>
        <w:spacing w:after="120" w:line="240" w:lineRule="auto"/>
        <w:rPr>
          <w:rFonts w:ascii="Arial" w:eastAsia="Times New Roman" w:hAnsi="Arial" w:cs="Arial"/>
          <w:b/>
          <w:i/>
        </w:rPr>
      </w:pPr>
      <w:r w:rsidRPr="00AE605B">
        <w:rPr>
          <w:rFonts w:ascii="Arial" w:eastAsia="Times New Roman" w:hAnsi="Arial" w:cs="Arial"/>
          <w:b/>
        </w:rPr>
        <w:lastRenderedPageBreak/>
        <w:t>Discussion</w:t>
      </w:r>
      <w:r w:rsidR="00A60408">
        <w:rPr>
          <w:rStyle w:val="FootnoteReference"/>
          <w:rFonts w:ascii="Arial" w:eastAsia="Times New Roman" w:hAnsi="Arial" w:cs="Arial"/>
          <w:b/>
        </w:rPr>
        <w:footnoteReference w:id="8"/>
      </w:r>
      <w:r w:rsidRPr="00AE605B">
        <w:rPr>
          <w:rFonts w:ascii="Arial" w:eastAsia="Times New Roman" w:hAnsi="Arial" w:cs="Arial"/>
          <w:b/>
        </w:rPr>
        <w:t xml:space="preserve">: </w:t>
      </w:r>
    </w:p>
    <w:p w14:paraId="44DEA607" w14:textId="03D4129F" w:rsidR="008F118C" w:rsidRDefault="00942405" w:rsidP="00723D59">
      <w:pPr>
        <w:keepNext/>
        <w:spacing w:after="120" w:line="240" w:lineRule="auto"/>
        <w:rPr>
          <w:rFonts w:ascii="Arial" w:eastAsia="Times New Roman" w:hAnsi="Arial" w:cs="Arial"/>
        </w:rPr>
      </w:pPr>
      <w:r>
        <w:rPr>
          <w:rFonts w:ascii="Arial" w:eastAsia="Times New Roman" w:hAnsi="Arial" w:cs="Arial"/>
        </w:rPr>
        <w:t xml:space="preserve">Below is the 25/3 Mbps served status for the </w:t>
      </w:r>
      <w:r w:rsidR="002F58ED">
        <w:rPr>
          <w:rFonts w:ascii="Arial" w:eastAsia="Times New Roman" w:hAnsi="Arial" w:cs="Arial"/>
        </w:rPr>
        <w:t>El Macero</w:t>
      </w:r>
      <w:r>
        <w:rPr>
          <w:rFonts w:ascii="Arial" w:eastAsia="Times New Roman" w:hAnsi="Arial" w:cs="Arial"/>
        </w:rPr>
        <w:t xml:space="preserve"> CSA.</w:t>
      </w:r>
      <w:r w:rsidR="00A359BD">
        <w:rPr>
          <w:rFonts w:ascii="Arial" w:eastAsia="Times New Roman" w:hAnsi="Arial" w:cs="Arial"/>
        </w:rPr>
        <w:t xml:space="preserve"> The green color indicates areas served by at least 25/3 Mbps download/upload speeds. </w:t>
      </w:r>
    </w:p>
    <w:p w14:paraId="46CB008C" w14:textId="5B6A5384" w:rsidR="00942405" w:rsidRDefault="002F58ED" w:rsidP="00942405">
      <w:pPr>
        <w:spacing w:after="120" w:line="240" w:lineRule="auto"/>
        <w:ind w:left="360" w:hanging="360"/>
        <w:jc w:val="center"/>
        <w:rPr>
          <w:rFonts w:ascii="Arial" w:eastAsia="Times New Roman" w:hAnsi="Arial" w:cs="Arial"/>
        </w:rPr>
      </w:pPr>
      <w:r>
        <w:rPr>
          <w:noProof/>
        </w:rPr>
        <w:drawing>
          <wp:inline distT="0" distB="0" distL="0" distR="0" wp14:anchorId="1912E08C" wp14:editId="742BD205">
            <wp:extent cx="4271966" cy="29557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7258" cy="2966360"/>
                    </a:xfrm>
                    <a:prstGeom prst="rect">
                      <a:avLst/>
                    </a:prstGeom>
                  </pic:spPr>
                </pic:pic>
              </a:graphicData>
            </a:graphic>
          </wp:inline>
        </w:drawing>
      </w:r>
    </w:p>
    <w:p w14:paraId="44272745" w14:textId="5A940571" w:rsidR="008F118C" w:rsidRDefault="008F118C" w:rsidP="00652EBE">
      <w:pPr>
        <w:keepNext/>
        <w:spacing w:after="120" w:line="240" w:lineRule="auto"/>
        <w:ind w:left="360" w:hanging="360"/>
        <w:rPr>
          <w:rFonts w:ascii="Arial" w:eastAsia="Times New Roman" w:hAnsi="Arial" w:cs="Arial"/>
          <w:b/>
        </w:rPr>
      </w:pPr>
      <w:r>
        <w:rPr>
          <w:rFonts w:ascii="Arial" w:eastAsia="Times New Roman" w:hAnsi="Arial" w:cs="Arial"/>
          <w:b/>
        </w:rPr>
        <w:t>Broadband Access</w:t>
      </w:r>
      <w:r w:rsidRPr="00AE605B">
        <w:rPr>
          <w:rFonts w:ascii="Arial" w:eastAsia="Times New Roman" w:hAnsi="Arial" w:cs="Arial"/>
          <w:b/>
        </w:rPr>
        <w:t xml:space="preserve"> MSR Determination</w:t>
      </w:r>
      <w:r>
        <w:rPr>
          <w:rFonts w:ascii="Arial" w:eastAsia="Times New Roman" w:hAnsi="Arial" w:cs="Arial"/>
          <w:b/>
        </w:rPr>
        <w:t>:</w:t>
      </w:r>
    </w:p>
    <w:p w14:paraId="128B49B0" w14:textId="676A4DB5" w:rsidR="00A359BD" w:rsidRDefault="004F5AAB" w:rsidP="00652EBE">
      <w:pPr>
        <w:keepNext/>
        <w:spacing w:after="120" w:line="240" w:lineRule="auto"/>
        <w:rPr>
          <w:rFonts w:ascii="Arial" w:eastAsia="Times New Roman" w:hAnsi="Arial" w:cs="Arial"/>
          <w:bCs/>
        </w:rPr>
      </w:pPr>
      <w:r>
        <w:rPr>
          <w:rFonts w:ascii="Arial" w:eastAsia="Times New Roman" w:hAnsi="Arial" w:cs="Arial"/>
          <w:bCs/>
        </w:rPr>
        <w:t xml:space="preserve">The CPUC map indicates </w:t>
      </w:r>
      <w:r w:rsidR="002F58ED">
        <w:rPr>
          <w:rFonts w:ascii="Arial" w:eastAsia="Times New Roman" w:hAnsi="Arial" w:cs="Arial"/>
          <w:bCs/>
        </w:rPr>
        <w:t>cable modem DOCSIS</w:t>
      </w:r>
      <w:r>
        <w:rPr>
          <w:rFonts w:ascii="Arial" w:eastAsia="Times New Roman" w:hAnsi="Arial" w:cs="Arial"/>
          <w:bCs/>
        </w:rPr>
        <w:t xml:space="preserve"> technology</w:t>
      </w:r>
      <w:r w:rsidR="00A359BD" w:rsidRPr="00A359BD">
        <w:rPr>
          <w:rFonts w:ascii="Arial" w:eastAsia="Times New Roman" w:hAnsi="Arial" w:cs="Arial"/>
          <w:bCs/>
        </w:rPr>
        <w:t xml:space="preserve"> is available from </w:t>
      </w:r>
      <w:r w:rsidR="002F58ED">
        <w:rPr>
          <w:rFonts w:ascii="Arial" w:eastAsia="Times New Roman" w:hAnsi="Arial" w:cs="Arial"/>
          <w:bCs/>
        </w:rPr>
        <w:t>Comcast</w:t>
      </w:r>
      <w:r>
        <w:rPr>
          <w:rFonts w:ascii="Arial" w:eastAsia="Times New Roman" w:hAnsi="Arial" w:cs="Arial"/>
          <w:bCs/>
        </w:rPr>
        <w:t xml:space="preserve"> </w:t>
      </w:r>
      <w:r w:rsidR="00A359BD" w:rsidRPr="00A359BD">
        <w:rPr>
          <w:rFonts w:ascii="Arial" w:eastAsia="Times New Roman" w:hAnsi="Arial" w:cs="Arial"/>
          <w:bCs/>
        </w:rPr>
        <w:t xml:space="preserve">at speeds up to </w:t>
      </w:r>
      <w:r w:rsidR="002F58ED">
        <w:rPr>
          <w:rFonts w:ascii="Arial" w:eastAsia="Times New Roman" w:hAnsi="Arial" w:cs="Arial"/>
          <w:bCs/>
        </w:rPr>
        <w:t xml:space="preserve">1,000/35 </w:t>
      </w:r>
      <w:r w:rsidR="00A359BD" w:rsidRPr="00A359BD">
        <w:rPr>
          <w:rFonts w:ascii="Arial" w:eastAsia="Times New Roman" w:hAnsi="Arial" w:cs="Arial"/>
          <w:bCs/>
        </w:rPr>
        <w:t>Mbps</w:t>
      </w:r>
      <w:r w:rsidR="00A359BD">
        <w:rPr>
          <w:rFonts w:ascii="Arial" w:eastAsia="Times New Roman" w:hAnsi="Arial" w:cs="Arial"/>
          <w:bCs/>
        </w:rPr>
        <w:t xml:space="preserve"> (download/upload speeds</w:t>
      </w:r>
      <w:r w:rsidR="002F58ED">
        <w:rPr>
          <w:rFonts w:ascii="Arial" w:eastAsia="Times New Roman" w:hAnsi="Arial" w:cs="Arial"/>
          <w:bCs/>
        </w:rPr>
        <w:t>)</w:t>
      </w:r>
      <w:r w:rsidR="0089482F">
        <w:rPr>
          <w:rFonts w:ascii="Arial" w:eastAsia="Times New Roman" w:hAnsi="Arial" w:cs="Arial"/>
          <w:bCs/>
        </w:rPr>
        <w:t xml:space="preserve">. </w:t>
      </w:r>
      <w:r w:rsidR="00A359BD" w:rsidRPr="00A359BD">
        <w:rPr>
          <w:rFonts w:ascii="Arial" w:eastAsia="Times New Roman" w:hAnsi="Arial" w:cs="Arial"/>
          <w:bCs/>
        </w:rPr>
        <w:t xml:space="preserve">Broadband adoption at 25/3 Mbps is </w:t>
      </w:r>
      <w:r w:rsidR="0089482F">
        <w:rPr>
          <w:rFonts w:ascii="Arial" w:eastAsia="Times New Roman" w:hAnsi="Arial" w:cs="Arial"/>
          <w:bCs/>
        </w:rPr>
        <w:t xml:space="preserve">reported to be </w:t>
      </w:r>
      <w:r w:rsidR="002F58ED">
        <w:rPr>
          <w:rFonts w:ascii="Arial" w:eastAsia="Times New Roman" w:hAnsi="Arial" w:cs="Arial"/>
          <w:bCs/>
        </w:rPr>
        <w:t xml:space="preserve">greater than </w:t>
      </w:r>
      <w:r w:rsidR="00A359BD" w:rsidRPr="00A359BD">
        <w:rPr>
          <w:rFonts w:ascii="Arial" w:eastAsia="Times New Roman" w:hAnsi="Arial" w:cs="Arial"/>
          <w:bCs/>
        </w:rPr>
        <w:t>80%</w:t>
      </w:r>
      <w:r w:rsidR="002F58ED">
        <w:rPr>
          <w:rFonts w:ascii="Arial" w:eastAsia="Times New Roman" w:hAnsi="Arial" w:cs="Arial"/>
          <w:bCs/>
        </w:rPr>
        <w:t xml:space="preserve"> (the highest category).</w:t>
      </w:r>
      <w:r w:rsidR="00A359BD" w:rsidRPr="00A359BD">
        <w:rPr>
          <w:rFonts w:ascii="Arial" w:eastAsia="Times New Roman" w:hAnsi="Arial" w:cs="Arial"/>
          <w:bCs/>
        </w:rPr>
        <w:t xml:space="preserve"> </w:t>
      </w:r>
    </w:p>
    <w:p w14:paraId="2867933C" w14:textId="3568DA4B" w:rsidR="006422E2" w:rsidRPr="008F118C" w:rsidRDefault="006422E2" w:rsidP="00A359BD">
      <w:pPr>
        <w:keepNext/>
        <w:spacing w:after="120" w:line="240" w:lineRule="auto"/>
        <w:rPr>
          <w:rFonts w:ascii="Arial" w:eastAsia="Times New Roman" w:hAnsi="Arial" w:cs="Arial"/>
          <w:b/>
          <w:bCs/>
        </w:rPr>
      </w:pPr>
      <w:r w:rsidRPr="008F118C">
        <w:rPr>
          <w:rFonts w:ascii="Arial" w:eastAsia="Times New Roman" w:hAnsi="Arial" w:cs="Arial"/>
          <w:b/>
          <w:bCs/>
        </w:rPr>
        <w:t>Recommendation(s):</w:t>
      </w:r>
    </w:p>
    <w:p w14:paraId="2888241D" w14:textId="24C409C1" w:rsidR="006422E2" w:rsidRPr="00AE605B" w:rsidRDefault="006422E2" w:rsidP="00A359BD">
      <w:pPr>
        <w:keepNext/>
        <w:spacing w:after="120" w:line="240" w:lineRule="auto"/>
        <w:ind w:left="360" w:hanging="360"/>
        <w:rPr>
          <w:rFonts w:ascii="Arial" w:eastAsia="Times New Roman" w:hAnsi="Arial" w:cs="Arial"/>
        </w:rPr>
      </w:pPr>
      <w:r>
        <w:rPr>
          <w:rFonts w:ascii="Arial" w:eastAsia="Times New Roman" w:hAnsi="Arial" w:cs="Arial"/>
        </w:rPr>
        <w:t xml:space="preserve">None. </w:t>
      </w:r>
    </w:p>
    <w:p w14:paraId="71331F82" w14:textId="77777777" w:rsidR="00BB0775" w:rsidRPr="00BB0775" w:rsidRDefault="00BB0775" w:rsidP="000A5E74">
      <w:pPr>
        <w:tabs>
          <w:tab w:val="left" w:pos="360"/>
        </w:tabs>
        <w:spacing w:after="120" w:line="240" w:lineRule="auto"/>
        <w:rPr>
          <w:rFonts w:ascii="Arial" w:eastAsia="Calibri" w:hAnsi="Arial" w:cs="Arial"/>
          <w:iCs w:val="0"/>
        </w:rPr>
      </w:pPr>
    </w:p>
    <w:tbl>
      <w:tblPr>
        <w:tblStyle w:val="TableGrid2"/>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4"/>
        <w:gridCol w:w="1152"/>
        <w:gridCol w:w="1152"/>
        <w:gridCol w:w="1156"/>
      </w:tblGrid>
      <w:tr w:rsidR="00AE605B" w:rsidRPr="00AE605B" w14:paraId="28D2B4EF" w14:textId="77777777" w:rsidTr="00184588">
        <w:trPr>
          <w:cantSplit/>
        </w:trPr>
        <w:tc>
          <w:tcPr>
            <w:tcW w:w="9504" w:type="dxa"/>
            <w:gridSpan w:val="4"/>
            <w:tcBorders>
              <w:top w:val="single" w:sz="12" w:space="0" w:color="auto"/>
            </w:tcBorders>
            <w:shd w:val="clear" w:color="auto" w:fill="D9D9D9"/>
          </w:tcPr>
          <w:p w14:paraId="03B18E98" w14:textId="6AD8C6FC" w:rsidR="00AE605B" w:rsidRPr="005D4AC7" w:rsidRDefault="00300020" w:rsidP="005D4AC7">
            <w:pPr>
              <w:pStyle w:val="Heading3"/>
              <w:outlineLvl w:val="2"/>
              <w:rPr>
                <w:color w:val="auto"/>
              </w:rPr>
            </w:pPr>
            <w:bookmarkStart w:id="25" w:name="_Toc108186094"/>
            <w:r>
              <w:rPr>
                <w:color w:val="auto"/>
              </w:rPr>
              <w:t>7b</w:t>
            </w:r>
            <w:r w:rsidR="00AE605B" w:rsidRPr="005D4AC7">
              <w:rPr>
                <w:color w:val="auto"/>
              </w:rPr>
              <w:t xml:space="preserve">. </w:t>
            </w:r>
            <w:r>
              <w:rPr>
                <w:color w:val="auto"/>
              </w:rPr>
              <w:t>Status of Previous MSR Recommendations</w:t>
            </w:r>
            <w:bookmarkEnd w:id="25"/>
          </w:p>
          <w:p w14:paraId="4DB80CDF" w14:textId="77777777" w:rsidR="00AE605B" w:rsidRPr="00AE605B" w:rsidRDefault="00AE605B" w:rsidP="00AE605B">
            <w:pPr>
              <w:spacing w:after="120" w:line="240" w:lineRule="auto"/>
              <w:rPr>
                <w:rFonts w:ascii="Arial" w:hAnsi="Arial" w:cs="Arial"/>
                <w:b/>
                <w:i/>
                <w:sz w:val="19"/>
                <w:szCs w:val="19"/>
              </w:rPr>
            </w:pPr>
            <w:r w:rsidRPr="00AE605B">
              <w:rPr>
                <w:rFonts w:ascii="Arial" w:hAnsi="Arial" w:cs="Arial"/>
                <w:sz w:val="19"/>
                <w:szCs w:val="19"/>
              </w:rPr>
              <w:t>Any other matter related to effective or efficient service delivery, as required by commission policy.</w:t>
            </w:r>
          </w:p>
        </w:tc>
      </w:tr>
      <w:tr w:rsidR="008F118C" w:rsidRPr="00AE605B" w14:paraId="4FB501D3" w14:textId="77777777" w:rsidTr="00184588">
        <w:trPr>
          <w:cantSplit/>
          <w:trHeight w:val="144"/>
        </w:trPr>
        <w:tc>
          <w:tcPr>
            <w:tcW w:w="6044" w:type="dxa"/>
            <w:tcBorders>
              <w:bottom w:val="single" w:sz="12" w:space="0" w:color="auto"/>
            </w:tcBorders>
            <w:shd w:val="clear" w:color="auto" w:fill="D9D9D9"/>
            <w:vAlign w:val="bottom"/>
          </w:tcPr>
          <w:p w14:paraId="3673FA35" w14:textId="77777777" w:rsidR="008F118C" w:rsidRPr="00AE605B" w:rsidRDefault="008F118C" w:rsidP="008F118C">
            <w:pPr>
              <w:keepNext/>
              <w:spacing w:after="120" w:line="240" w:lineRule="auto"/>
              <w:jc w:val="center"/>
              <w:outlineLvl w:val="0"/>
              <w:rPr>
                <w:rFonts w:ascii="Arial" w:hAnsi="Arial" w:cs="Arial"/>
                <w:b/>
                <w:bCs/>
                <w:i/>
                <w:caps/>
                <w:spacing w:val="40"/>
                <w:kern w:val="32"/>
                <w:sz w:val="19"/>
                <w:szCs w:val="19"/>
              </w:rPr>
            </w:pPr>
          </w:p>
        </w:tc>
        <w:tc>
          <w:tcPr>
            <w:tcW w:w="1152" w:type="dxa"/>
            <w:tcBorders>
              <w:bottom w:val="single" w:sz="12" w:space="0" w:color="auto"/>
            </w:tcBorders>
            <w:shd w:val="clear" w:color="auto" w:fill="D9D9D9"/>
            <w:vAlign w:val="bottom"/>
          </w:tcPr>
          <w:p w14:paraId="1A52A4BD" w14:textId="203C271D"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Significant Issue</w:t>
            </w:r>
          </w:p>
        </w:tc>
        <w:tc>
          <w:tcPr>
            <w:tcW w:w="1152" w:type="dxa"/>
            <w:tcBorders>
              <w:bottom w:val="single" w:sz="12" w:space="0" w:color="auto"/>
            </w:tcBorders>
            <w:shd w:val="clear" w:color="auto" w:fill="D9D9D9"/>
            <w:vAlign w:val="bottom"/>
          </w:tcPr>
          <w:p w14:paraId="6F86A632" w14:textId="48CA22BC"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Potentially Significant</w:t>
            </w:r>
          </w:p>
        </w:tc>
        <w:tc>
          <w:tcPr>
            <w:tcW w:w="1156" w:type="dxa"/>
            <w:tcBorders>
              <w:bottom w:val="single" w:sz="12" w:space="0" w:color="auto"/>
            </w:tcBorders>
            <w:shd w:val="clear" w:color="auto" w:fill="D9D9D9"/>
            <w:vAlign w:val="bottom"/>
          </w:tcPr>
          <w:p w14:paraId="1BA2CD91" w14:textId="524F71FF" w:rsidR="008F118C" w:rsidRPr="00AE605B" w:rsidRDefault="008F118C" w:rsidP="008F118C">
            <w:pPr>
              <w:spacing w:after="120" w:line="240" w:lineRule="auto"/>
              <w:jc w:val="center"/>
              <w:rPr>
                <w:rFonts w:ascii="Arial" w:hAnsi="Arial" w:cs="Arial"/>
                <w:b/>
                <w:i/>
                <w:sz w:val="19"/>
                <w:szCs w:val="19"/>
              </w:rPr>
            </w:pPr>
            <w:r w:rsidRPr="00CA2771">
              <w:rPr>
                <w:rFonts w:ascii="Arial" w:hAnsi="Arial" w:cs="Arial"/>
                <w:b/>
                <w:sz w:val="18"/>
                <w:szCs w:val="18"/>
              </w:rPr>
              <w:t>No Issue</w:t>
            </w:r>
          </w:p>
        </w:tc>
      </w:tr>
      <w:tr w:rsidR="00AE605B" w:rsidRPr="00AE605B" w14:paraId="21940CB2" w14:textId="77777777" w:rsidTr="009762DA">
        <w:trPr>
          <w:cantSplit/>
        </w:trPr>
        <w:tc>
          <w:tcPr>
            <w:tcW w:w="6044" w:type="dxa"/>
            <w:tcBorders>
              <w:top w:val="single" w:sz="12" w:space="0" w:color="auto"/>
              <w:bottom w:val="single" w:sz="4" w:space="0" w:color="auto"/>
            </w:tcBorders>
            <w:vAlign w:val="center"/>
          </w:tcPr>
          <w:p w14:paraId="6E13E6CC" w14:textId="77777777" w:rsidR="00AE605B" w:rsidRPr="00AE605B" w:rsidRDefault="00AE605B" w:rsidP="009762DA">
            <w:pPr>
              <w:numPr>
                <w:ilvl w:val="0"/>
                <w:numId w:val="21"/>
              </w:numPr>
              <w:spacing w:before="60" w:after="60" w:line="240" w:lineRule="auto"/>
              <w:rPr>
                <w:rFonts w:ascii="Arial" w:hAnsi="Arial" w:cs="Arial"/>
                <w:i/>
                <w:sz w:val="19"/>
                <w:szCs w:val="19"/>
              </w:rPr>
            </w:pPr>
            <w:r w:rsidRPr="00AE605B">
              <w:rPr>
                <w:rFonts w:ascii="Arial" w:hAnsi="Arial" w:cs="Arial"/>
                <w:i/>
                <w:sz w:val="19"/>
                <w:szCs w:val="19"/>
              </w:rPr>
              <w:t>Are there any recommendations from the agency’s previous MSR that have not been implemented?</w:t>
            </w:r>
          </w:p>
        </w:tc>
        <w:tc>
          <w:tcPr>
            <w:tcW w:w="1152" w:type="dxa"/>
            <w:tcBorders>
              <w:top w:val="single" w:sz="12" w:space="0" w:color="auto"/>
              <w:bottom w:val="single" w:sz="4" w:space="0" w:color="auto"/>
            </w:tcBorders>
            <w:vAlign w:val="center"/>
          </w:tcPr>
          <w:p w14:paraId="0C8A1693" w14:textId="6444B939" w:rsidR="00AE605B" w:rsidRPr="00AE605B" w:rsidRDefault="0089482F"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2" w:type="dxa"/>
            <w:tcBorders>
              <w:top w:val="single" w:sz="12" w:space="0" w:color="auto"/>
              <w:bottom w:val="single" w:sz="4" w:space="0" w:color="auto"/>
            </w:tcBorders>
            <w:vAlign w:val="center"/>
          </w:tcPr>
          <w:p w14:paraId="2890BFA0" w14:textId="59EBD9FB" w:rsidR="00AE605B" w:rsidRPr="00AE605B" w:rsidRDefault="00723D5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1"/>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c>
          <w:tcPr>
            <w:tcW w:w="1156" w:type="dxa"/>
            <w:tcBorders>
              <w:top w:val="single" w:sz="12" w:space="0" w:color="auto"/>
              <w:bottom w:val="single" w:sz="4" w:space="0" w:color="auto"/>
            </w:tcBorders>
            <w:vAlign w:val="center"/>
          </w:tcPr>
          <w:p w14:paraId="541415C5" w14:textId="591A2458" w:rsidR="00AE605B" w:rsidRPr="00AE605B" w:rsidRDefault="00723D59" w:rsidP="009762DA">
            <w:pPr>
              <w:spacing w:before="60" w:after="60" w:line="240" w:lineRule="auto"/>
              <w:jc w:val="center"/>
              <w:rPr>
                <w:rFonts w:ascii="Arial" w:hAnsi="Arial" w:cs="Arial"/>
                <w:i/>
                <w:sz w:val="19"/>
                <w:szCs w:val="19"/>
              </w:rPr>
            </w:pPr>
            <w:r>
              <w:rPr>
                <w:rFonts w:ascii="Arial" w:hAnsi="Arial" w:cs="Arial"/>
                <w:i/>
                <w:sz w:val="19"/>
                <w:szCs w:val="19"/>
              </w:rPr>
              <w:fldChar w:fldCharType="begin">
                <w:ffData>
                  <w:name w:val=""/>
                  <w:enabled/>
                  <w:calcOnExit w:val="0"/>
                  <w:checkBox>
                    <w:sizeAuto/>
                    <w:default w:val="0"/>
                  </w:checkBox>
                </w:ffData>
              </w:fldChar>
            </w:r>
            <w:r>
              <w:rPr>
                <w:rFonts w:ascii="Arial" w:hAnsi="Arial" w:cs="Arial"/>
                <w:i/>
                <w:sz w:val="19"/>
                <w:szCs w:val="19"/>
              </w:rPr>
              <w:instrText xml:space="preserve"> FORMCHECKBOX </w:instrText>
            </w:r>
            <w:r w:rsidR="00240498">
              <w:rPr>
                <w:rFonts w:ascii="Arial" w:hAnsi="Arial" w:cs="Arial"/>
                <w:i/>
                <w:sz w:val="19"/>
                <w:szCs w:val="19"/>
              </w:rPr>
            </w:r>
            <w:r w:rsidR="00240498">
              <w:rPr>
                <w:rFonts w:ascii="Arial" w:hAnsi="Arial" w:cs="Arial"/>
                <w:i/>
                <w:sz w:val="19"/>
                <w:szCs w:val="19"/>
              </w:rPr>
              <w:fldChar w:fldCharType="separate"/>
            </w:r>
            <w:r>
              <w:rPr>
                <w:rFonts w:ascii="Arial" w:hAnsi="Arial" w:cs="Arial"/>
                <w:i/>
                <w:sz w:val="19"/>
                <w:szCs w:val="19"/>
              </w:rPr>
              <w:fldChar w:fldCharType="end"/>
            </w:r>
          </w:p>
        </w:tc>
      </w:tr>
    </w:tbl>
    <w:p w14:paraId="7BA1B1A4" w14:textId="77777777" w:rsidR="008F118C" w:rsidRPr="00AE605B" w:rsidRDefault="008F118C" w:rsidP="00B62496">
      <w:pPr>
        <w:keepNext/>
        <w:spacing w:after="120" w:line="240" w:lineRule="auto"/>
        <w:rPr>
          <w:rFonts w:ascii="Arial" w:eastAsia="Times New Roman" w:hAnsi="Arial" w:cs="Arial"/>
          <w:b/>
          <w:i/>
        </w:rPr>
      </w:pPr>
      <w:r w:rsidRPr="00AE605B">
        <w:rPr>
          <w:rFonts w:ascii="Arial" w:eastAsia="Times New Roman" w:hAnsi="Arial" w:cs="Arial"/>
          <w:b/>
        </w:rPr>
        <w:t xml:space="preserve">Discussion: </w:t>
      </w:r>
    </w:p>
    <w:p w14:paraId="0528C882" w14:textId="43EE8F83" w:rsidR="008F118C" w:rsidRDefault="000E58FF" w:rsidP="00B62496">
      <w:pPr>
        <w:keepNext/>
        <w:spacing w:after="120" w:line="240" w:lineRule="auto"/>
        <w:rPr>
          <w:rFonts w:ascii="Arial" w:eastAsia="Times New Roman" w:hAnsi="Arial" w:cs="Arial"/>
        </w:rPr>
      </w:pPr>
      <w:r>
        <w:rPr>
          <w:rFonts w:ascii="Arial" w:eastAsia="Times New Roman" w:hAnsi="Arial" w:cs="Arial"/>
        </w:rPr>
        <w:t>The 201</w:t>
      </w:r>
      <w:r w:rsidR="00A25C3D">
        <w:rPr>
          <w:rFonts w:ascii="Arial" w:eastAsia="Times New Roman" w:hAnsi="Arial" w:cs="Arial"/>
        </w:rPr>
        <w:t>6</w:t>
      </w:r>
      <w:r>
        <w:rPr>
          <w:rFonts w:ascii="Arial" w:eastAsia="Times New Roman" w:hAnsi="Arial" w:cs="Arial"/>
        </w:rPr>
        <w:t xml:space="preserve"> MSR </w:t>
      </w:r>
      <w:r w:rsidR="0089482F">
        <w:rPr>
          <w:rFonts w:ascii="Arial" w:eastAsia="Times New Roman" w:hAnsi="Arial" w:cs="Arial"/>
        </w:rPr>
        <w:t>had several recommendations and most of them have been implemented.</w:t>
      </w:r>
      <w:r w:rsidR="00E86060">
        <w:rPr>
          <w:rFonts w:ascii="Arial" w:eastAsia="Times New Roman" w:hAnsi="Arial" w:cs="Arial"/>
        </w:rPr>
        <w:t xml:space="preserve"> </w:t>
      </w:r>
    </w:p>
    <w:tbl>
      <w:tblPr>
        <w:tblStyle w:val="TableGrid"/>
        <w:tblW w:w="0" w:type="auto"/>
        <w:tblInd w:w="360" w:type="dxa"/>
        <w:tblLook w:val="04A0" w:firstRow="1" w:lastRow="0" w:firstColumn="1" w:lastColumn="0" w:noHBand="0" w:noVBand="1"/>
      </w:tblPr>
      <w:tblGrid>
        <w:gridCol w:w="5395"/>
        <w:gridCol w:w="3595"/>
      </w:tblGrid>
      <w:tr w:rsidR="00745DF4" w14:paraId="0CF0DDE5" w14:textId="77777777" w:rsidTr="00BB5781">
        <w:trPr>
          <w:tblHeader/>
        </w:trPr>
        <w:tc>
          <w:tcPr>
            <w:tcW w:w="5395" w:type="dxa"/>
            <w:shd w:val="clear" w:color="auto" w:fill="E2ECE3" w:themeFill="accent1" w:themeFillTint="33"/>
          </w:tcPr>
          <w:p w14:paraId="52C11CA8" w14:textId="50AD2C0A" w:rsidR="00745DF4" w:rsidRPr="00745DF4" w:rsidRDefault="00745DF4" w:rsidP="00745DF4">
            <w:pPr>
              <w:spacing w:after="120" w:line="240" w:lineRule="auto"/>
              <w:jc w:val="center"/>
              <w:rPr>
                <w:rFonts w:ascii="Arial" w:eastAsia="Times New Roman" w:hAnsi="Arial" w:cs="Arial"/>
                <w:b/>
                <w:bCs/>
              </w:rPr>
            </w:pPr>
            <w:r w:rsidRPr="00745DF4">
              <w:rPr>
                <w:rFonts w:ascii="Arial" w:eastAsia="Times New Roman" w:hAnsi="Arial" w:cs="Arial"/>
                <w:b/>
                <w:bCs/>
              </w:rPr>
              <w:t>201</w:t>
            </w:r>
            <w:r w:rsidR="00652EBE">
              <w:rPr>
                <w:rFonts w:ascii="Arial" w:eastAsia="Times New Roman" w:hAnsi="Arial" w:cs="Arial"/>
                <w:b/>
                <w:bCs/>
              </w:rPr>
              <w:t>6</w:t>
            </w:r>
            <w:r w:rsidRPr="00745DF4">
              <w:rPr>
                <w:rFonts w:ascii="Arial" w:eastAsia="Times New Roman" w:hAnsi="Arial" w:cs="Arial"/>
                <w:b/>
                <w:bCs/>
              </w:rPr>
              <w:t xml:space="preserve"> MSR Recommendations</w:t>
            </w:r>
          </w:p>
        </w:tc>
        <w:tc>
          <w:tcPr>
            <w:tcW w:w="3595" w:type="dxa"/>
            <w:shd w:val="clear" w:color="auto" w:fill="E2ECE3" w:themeFill="accent1" w:themeFillTint="33"/>
          </w:tcPr>
          <w:p w14:paraId="557537F7" w14:textId="00871202" w:rsidR="00745DF4" w:rsidRPr="00745DF4" w:rsidRDefault="00A60408" w:rsidP="00745DF4">
            <w:pPr>
              <w:spacing w:after="120" w:line="240" w:lineRule="auto"/>
              <w:jc w:val="center"/>
              <w:rPr>
                <w:rFonts w:ascii="Arial" w:eastAsia="Times New Roman" w:hAnsi="Arial" w:cs="Arial"/>
                <w:b/>
                <w:bCs/>
              </w:rPr>
            </w:pPr>
            <w:r>
              <w:rPr>
                <w:rFonts w:ascii="Arial" w:eastAsia="Times New Roman" w:hAnsi="Arial" w:cs="Arial"/>
                <w:b/>
                <w:bCs/>
              </w:rPr>
              <w:t xml:space="preserve">2022 </w:t>
            </w:r>
            <w:r w:rsidR="00745DF4" w:rsidRPr="00745DF4">
              <w:rPr>
                <w:rFonts w:ascii="Arial" w:eastAsia="Times New Roman" w:hAnsi="Arial" w:cs="Arial"/>
                <w:b/>
                <w:bCs/>
              </w:rPr>
              <w:t>Status</w:t>
            </w:r>
          </w:p>
        </w:tc>
      </w:tr>
      <w:tr w:rsidR="0089482F" w14:paraId="0293C4DA" w14:textId="77777777" w:rsidTr="00BB5781">
        <w:tc>
          <w:tcPr>
            <w:tcW w:w="5395" w:type="dxa"/>
          </w:tcPr>
          <w:p w14:paraId="0F7D4188" w14:textId="56D448E1" w:rsidR="0089482F" w:rsidRPr="0089482F" w:rsidRDefault="00D1368D" w:rsidP="0089482F">
            <w:pPr>
              <w:spacing w:after="120" w:line="240" w:lineRule="auto"/>
              <w:rPr>
                <w:rFonts w:ascii="Arial" w:eastAsia="Times New Roman" w:hAnsi="Arial" w:cs="Arial"/>
              </w:rPr>
            </w:pPr>
            <w:r>
              <w:rPr>
                <w:rFonts w:ascii="Arial" w:hAnsi="Arial" w:cs="Arial"/>
              </w:rPr>
              <w:t xml:space="preserve">1. </w:t>
            </w:r>
            <w:r w:rsidR="002F58ED" w:rsidRPr="002F58ED">
              <w:rPr>
                <w:rFonts w:ascii="Arial" w:hAnsi="Arial" w:cs="Arial"/>
              </w:rPr>
              <w:t xml:space="preserve">The County, in consultation with the CSA advisory committee, should develop options for future maintenance and improvements to roads, including a feasibility and cost/benefit analysis of potentially privatizing the El Macero </w:t>
            </w:r>
            <w:r w:rsidR="002F58ED" w:rsidRPr="002F58ED">
              <w:rPr>
                <w:rFonts w:ascii="Arial" w:hAnsi="Arial" w:cs="Arial"/>
              </w:rPr>
              <w:lastRenderedPageBreak/>
              <w:t xml:space="preserve">road system for maintenance by the HOA. The analysis should review the potential for any unintended consequences to this change in service structure, </w:t>
            </w:r>
            <w:proofErr w:type="gramStart"/>
            <w:r w:rsidR="002F58ED" w:rsidRPr="002F58ED">
              <w:rPr>
                <w:rFonts w:ascii="Arial" w:hAnsi="Arial" w:cs="Arial"/>
              </w:rPr>
              <w:t>in particular with</w:t>
            </w:r>
            <w:proofErr w:type="gramEnd"/>
            <w:r w:rsidR="002F58ED" w:rsidRPr="002F58ED">
              <w:rPr>
                <w:rFonts w:ascii="Arial" w:hAnsi="Arial" w:cs="Arial"/>
              </w:rPr>
              <w:t xml:space="preserve"> respect to homeowner costs, public safety enforcement and solid waste collection.</w:t>
            </w:r>
          </w:p>
        </w:tc>
        <w:tc>
          <w:tcPr>
            <w:tcW w:w="3595" w:type="dxa"/>
          </w:tcPr>
          <w:p w14:paraId="5347BFBE" w14:textId="3EE7B707" w:rsidR="0089482F" w:rsidRDefault="00BB5781" w:rsidP="00D54D67">
            <w:pPr>
              <w:spacing w:after="120" w:line="240" w:lineRule="auto"/>
              <w:jc w:val="left"/>
              <w:rPr>
                <w:rFonts w:ascii="Arial" w:eastAsia="Times New Roman" w:hAnsi="Arial" w:cs="Arial"/>
              </w:rPr>
            </w:pPr>
            <w:r>
              <w:rPr>
                <w:rFonts w:ascii="Arial" w:eastAsia="Times New Roman" w:hAnsi="Arial" w:cs="Arial"/>
              </w:rPr>
              <w:lastRenderedPageBreak/>
              <w:t xml:space="preserve">Privatizing roads </w:t>
            </w:r>
            <w:r w:rsidR="002F58ED" w:rsidRPr="002F58ED">
              <w:rPr>
                <w:rFonts w:ascii="Arial" w:eastAsia="Times New Roman" w:hAnsi="Arial" w:cs="Arial"/>
              </w:rPr>
              <w:t xml:space="preserve">was </w:t>
            </w:r>
            <w:r>
              <w:rPr>
                <w:rFonts w:ascii="Arial" w:eastAsia="Times New Roman" w:hAnsi="Arial" w:cs="Arial"/>
              </w:rPr>
              <w:t>considered</w:t>
            </w:r>
            <w:r w:rsidR="002F58ED" w:rsidRPr="002F58ED">
              <w:rPr>
                <w:rFonts w:ascii="Arial" w:eastAsia="Times New Roman" w:hAnsi="Arial" w:cs="Arial"/>
              </w:rPr>
              <w:t xml:space="preserve"> by the CSA Advisory Committee and </w:t>
            </w:r>
            <w:r w:rsidR="003C5573">
              <w:rPr>
                <w:rFonts w:ascii="Arial" w:eastAsia="Times New Roman" w:hAnsi="Arial" w:cs="Arial"/>
              </w:rPr>
              <w:t xml:space="preserve">it </w:t>
            </w:r>
            <w:r>
              <w:rPr>
                <w:rFonts w:ascii="Arial" w:eastAsia="Times New Roman" w:hAnsi="Arial" w:cs="Arial"/>
              </w:rPr>
              <w:t>recommended</w:t>
            </w:r>
            <w:r w:rsidR="002F58ED" w:rsidRPr="002F58ED">
              <w:rPr>
                <w:rFonts w:ascii="Arial" w:eastAsia="Times New Roman" w:hAnsi="Arial" w:cs="Arial"/>
              </w:rPr>
              <w:t xml:space="preserve"> that HOA street maintenance would be </w:t>
            </w:r>
            <w:r>
              <w:rPr>
                <w:rFonts w:ascii="Arial" w:eastAsia="Times New Roman" w:hAnsi="Arial" w:cs="Arial"/>
              </w:rPr>
              <w:t>more</w:t>
            </w:r>
            <w:r w:rsidR="002F58ED" w:rsidRPr="002F58ED">
              <w:rPr>
                <w:rFonts w:ascii="Arial" w:eastAsia="Times New Roman" w:hAnsi="Arial" w:cs="Arial"/>
              </w:rPr>
              <w:t xml:space="preserve"> difficult </w:t>
            </w:r>
            <w:r w:rsidR="002F58ED" w:rsidRPr="002F58ED">
              <w:rPr>
                <w:rFonts w:ascii="Arial" w:eastAsia="Times New Roman" w:hAnsi="Arial" w:cs="Arial"/>
              </w:rPr>
              <w:lastRenderedPageBreak/>
              <w:t xml:space="preserve">and create negative consequences. Therefore, this recommendation was not pursued and LAFCo </w:t>
            </w:r>
            <w:r>
              <w:rPr>
                <w:rFonts w:ascii="Arial" w:eastAsia="Times New Roman" w:hAnsi="Arial" w:cs="Arial"/>
              </w:rPr>
              <w:t>accepts th</w:t>
            </w:r>
            <w:r w:rsidR="006976E1">
              <w:rPr>
                <w:rFonts w:ascii="Arial" w:eastAsia="Times New Roman" w:hAnsi="Arial" w:cs="Arial"/>
              </w:rPr>
              <w:t>is</w:t>
            </w:r>
            <w:r>
              <w:rPr>
                <w:rFonts w:ascii="Arial" w:eastAsia="Times New Roman" w:hAnsi="Arial" w:cs="Arial"/>
              </w:rPr>
              <w:t xml:space="preserve"> outcome</w:t>
            </w:r>
            <w:r w:rsidR="002F58ED" w:rsidRPr="002F58ED">
              <w:rPr>
                <w:rFonts w:ascii="Arial" w:eastAsia="Times New Roman" w:hAnsi="Arial" w:cs="Arial"/>
              </w:rPr>
              <w:t>.</w:t>
            </w:r>
          </w:p>
        </w:tc>
      </w:tr>
      <w:tr w:rsidR="0089482F" w14:paraId="4572EC9E" w14:textId="77777777" w:rsidTr="00BB5781">
        <w:tc>
          <w:tcPr>
            <w:tcW w:w="5395" w:type="dxa"/>
          </w:tcPr>
          <w:p w14:paraId="093F975D" w14:textId="03E9631D" w:rsidR="0089482F" w:rsidRPr="0089482F" w:rsidRDefault="002F58ED" w:rsidP="0089482F">
            <w:pPr>
              <w:spacing w:after="120" w:line="240" w:lineRule="auto"/>
              <w:rPr>
                <w:rFonts w:ascii="Arial" w:eastAsia="Times New Roman" w:hAnsi="Arial" w:cs="Arial"/>
              </w:rPr>
            </w:pPr>
            <w:r w:rsidRPr="002F58ED">
              <w:rPr>
                <w:rFonts w:ascii="Arial" w:hAnsi="Arial" w:cs="Arial"/>
              </w:rPr>
              <w:lastRenderedPageBreak/>
              <w:t>2.</w:t>
            </w:r>
            <w:r w:rsidR="00D1368D">
              <w:rPr>
                <w:rFonts w:ascii="Arial" w:hAnsi="Arial" w:cs="Arial"/>
              </w:rPr>
              <w:t xml:space="preserve"> </w:t>
            </w:r>
            <w:r w:rsidRPr="002F58ED">
              <w:rPr>
                <w:rFonts w:ascii="Arial" w:hAnsi="Arial" w:cs="Arial"/>
              </w:rPr>
              <w:t xml:space="preserve">LAFCo recommends that County staff compile a </w:t>
            </w:r>
            <w:r w:rsidR="005A0A10" w:rsidRPr="002F58ED">
              <w:rPr>
                <w:rFonts w:ascii="Arial" w:hAnsi="Arial" w:cs="Arial"/>
              </w:rPr>
              <w:t>long-term</w:t>
            </w:r>
            <w:r w:rsidRPr="002F58ED">
              <w:rPr>
                <w:rFonts w:ascii="Arial" w:hAnsi="Arial" w:cs="Arial"/>
              </w:rPr>
              <w:t xml:space="preserve"> capital improvement plan for the CSA with a focus on anticipated street needs over the next few decades to ensure that the assessment being charged is sufficient to finance projected costs.</w:t>
            </w:r>
          </w:p>
        </w:tc>
        <w:tc>
          <w:tcPr>
            <w:tcW w:w="3595" w:type="dxa"/>
          </w:tcPr>
          <w:p w14:paraId="679E781D" w14:textId="5A655ADD" w:rsidR="0089482F" w:rsidRDefault="002F58ED" w:rsidP="00D54D67">
            <w:pPr>
              <w:spacing w:after="120" w:line="240" w:lineRule="auto"/>
              <w:jc w:val="left"/>
              <w:rPr>
                <w:rFonts w:ascii="Arial" w:eastAsia="Times New Roman" w:hAnsi="Arial" w:cs="Arial"/>
              </w:rPr>
            </w:pPr>
            <w:r w:rsidRPr="002F58ED">
              <w:rPr>
                <w:rFonts w:ascii="Arial" w:eastAsia="Times New Roman" w:hAnsi="Arial" w:cs="Arial"/>
              </w:rPr>
              <w:t xml:space="preserve">CSA staff prepared a scope of work for this CIP in 2018 per LAFCo’s recommendation. However, as noted under </w:t>
            </w:r>
            <w:r w:rsidR="00BB5781" w:rsidRPr="00BB5781">
              <w:rPr>
                <w:rFonts w:ascii="Arial" w:eastAsia="Times New Roman" w:hAnsi="Arial" w:cs="Arial"/>
              </w:rPr>
              <w:t xml:space="preserve">Capacity and Adequacy of Public Facilities </w:t>
            </w:r>
            <w:r w:rsidR="00BB5781">
              <w:rPr>
                <w:rFonts w:ascii="Arial" w:eastAsia="Times New Roman" w:hAnsi="Arial" w:cs="Arial"/>
              </w:rPr>
              <w:t xml:space="preserve">Section </w:t>
            </w:r>
            <w:r w:rsidRPr="002F58ED">
              <w:rPr>
                <w:rFonts w:ascii="Arial" w:eastAsia="Times New Roman" w:hAnsi="Arial" w:cs="Arial"/>
              </w:rPr>
              <w:t>the Prop 218 to support these efforts failed such that the CSA will no</w:t>
            </w:r>
            <w:r w:rsidR="00BB5781">
              <w:rPr>
                <w:rFonts w:ascii="Arial" w:eastAsia="Times New Roman" w:hAnsi="Arial" w:cs="Arial"/>
              </w:rPr>
              <w:t>t</w:t>
            </w:r>
            <w:r w:rsidRPr="002F58ED">
              <w:rPr>
                <w:rFonts w:ascii="Arial" w:eastAsia="Times New Roman" w:hAnsi="Arial" w:cs="Arial"/>
              </w:rPr>
              <w:t xml:space="preserve"> be able to fund </w:t>
            </w:r>
            <w:r w:rsidR="00BB5781">
              <w:rPr>
                <w:rFonts w:ascii="Arial" w:eastAsia="Times New Roman" w:hAnsi="Arial" w:cs="Arial"/>
              </w:rPr>
              <w:t>it</w:t>
            </w:r>
            <w:r w:rsidRPr="002F58ED">
              <w:rPr>
                <w:rFonts w:ascii="Arial" w:eastAsia="Times New Roman" w:hAnsi="Arial" w:cs="Arial"/>
              </w:rPr>
              <w:t xml:space="preserve">. </w:t>
            </w:r>
            <w:r w:rsidR="00BB5781">
              <w:rPr>
                <w:rFonts w:ascii="Arial" w:eastAsia="Times New Roman" w:hAnsi="Arial" w:cs="Arial"/>
              </w:rPr>
              <w:t xml:space="preserve">See new recommendations in </w:t>
            </w:r>
            <w:r w:rsidR="00BB5781" w:rsidRPr="00BB5781">
              <w:rPr>
                <w:rFonts w:ascii="Arial" w:eastAsia="Times New Roman" w:hAnsi="Arial" w:cs="Arial"/>
              </w:rPr>
              <w:t xml:space="preserve">Capacity and Adequacy of Public Facilities </w:t>
            </w:r>
            <w:r w:rsidR="00BB5781">
              <w:rPr>
                <w:rFonts w:ascii="Arial" w:eastAsia="Times New Roman" w:hAnsi="Arial" w:cs="Arial"/>
              </w:rPr>
              <w:t>Section</w:t>
            </w:r>
            <w:r w:rsidRPr="002F58ED">
              <w:rPr>
                <w:rFonts w:ascii="Arial" w:eastAsia="Times New Roman" w:hAnsi="Arial" w:cs="Arial"/>
              </w:rPr>
              <w:t>.</w:t>
            </w:r>
          </w:p>
        </w:tc>
      </w:tr>
      <w:tr w:rsidR="0089482F" w14:paraId="79A5AF28" w14:textId="77777777" w:rsidTr="00BB5781">
        <w:tc>
          <w:tcPr>
            <w:tcW w:w="5395" w:type="dxa"/>
          </w:tcPr>
          <w:p w14:paraId="518854BF" w14:textId="330676AA" w:rsidR="0089482F" w:rsidRPr="0089482F" w:rsidRDefault="002F58ED" w:rsidP="0089482F">
            <w:pPr>
              <w:spacing w:after="120" w:line="240" w:lineRule="auto"/>
              <w:rPr>
                <w:rFonts w:ascii="Arial" w:eastAsia="Times New Roman" w:hAnsi="Arial" w:cs="Arial"/>
              </w:rPr>
            </w:pPr>
            <w:r w:rsidRPr="002F58ED">
              <w:rPr>
                <w:rFonts w:ascii="Arial" w:hAnsi="Arial" w:cs="Arial"/>
              </w:rPr>
              <w:t>3.</w:t>
            </w:r>
            <w:r w:rsidR="00D1368D">
              <w:rPr>
                <w:rFonts w:ascii="Arial" w:hAnsi="Arial" w:cs="Arial"/>
              </w:rPr>
              <w:t xml:space="preserve"> </w:t>
            </w:r>
            <w:r w:rsidRPr="002F58ED">
              <w:rPr>
                <w:rFonts w:ascii="Arial" w:hAnsi="Arial" w:cs="Arial"/>
              </w:rPr>
              <w:t>The reserve level of El Macero CSA should be reviewed to determine if it is appropriate to the needs of the CSA and the service structure after a capital improvement plan is developed to determine all capital needs of the CSA.</w:t>
            </w:r>
          </w:p>
        </w:tc>
        <w:tc>
          <w:tcPr>
            <w:tcW w:w="3595" w:type="dxa"/>
          </w:tcPr>
          <w:p w14:paraId="76280DC8" w14:textId="0CDAF827" w:rsidR="0089482F" w:rsidRPr="0089482F" w:rsidRDefault="003C5573" w:rsidP="00D54D67">
            <w:pPr>
              <w:spacing w:after="120" w:line="240" w:lineRule="auto"/>
              <w:jc w:val="left"/>
              <w:rPr>
                <w:rFonts w:ascii="Arial" w:eastAsia="Times New Roman" w:hAnsi="Arial" w:cs="Arial"/>
                <w:highlight w:val="yellow"/>
              </w:rPr>
            </w:pPr>
            <w:r>
              <w:rPr>
                <w:rFonts w:ascii="Arial" w:eastAsia="Times New Roman" w:hAnsi="Arial" w:cs="Arial"/>
              </w:rPr>
              <w:t xml:space="preserve">See status for #2. </w:t>
            </w:r>
            <w:r w:rsidR="002F58ED" w:rsidRPr="002F58ED">
              <w:rPr>
                <w:rFonts w:ascii="Arial" w:eastAsia="Times New Roman" w:hAnsi="Arial" w:cs="Arial"/>
              </w:rPr>
              <w:t>Considering the Prop 218 for street improvements failed and water/sewer system maintenance is handled by the City of Davis and included in the fee structure, a reserve study is no</w:t>
            </w:r>
            <w:r w:rsidR="00240498">
              <w:rPr>
                <w:rFonts w:ascii="Arial" w:eastAsia="Times New Roman" w:hAnsi="Arial" w:cs="Arial"/>
              </w:rPr>
              <w:t>t currently needed</w:t>
            </w:r>
            <w:r w:rsidR="002F58ED" w:rsidRPr="002F58ED">
              <w:rPr>
                <w:rFonts w:ascii="Arial" w:eastAsia="Times New Roman" w:hAnsi="Arial" w:cs="Arial"/>
              </w:rPr>
              <w:t>.</w:t>
            </w:r>
          </w:p>
        </w:tc>
      </w:tr>
      <w:tr w:rsidR="0089482F" w14:paraId="670B0056" w14:textId="77777777" w:rsidTr="00BB5781">
        <w:tc>
          <w:tcPr>
            <w:tcW w:w="5395" w:type="dxa"/>
          </w:tcPr>
          <w:p w14:paraId="21EF2D39" w14:textId="03BB787D" w:rsidR="0089482F" w:rsidRPr="0089482F" w:rsidRDefault="002F58ED" w:rsidP="0089482F">
            <w:pPr>
              <w:spacing w:after="120" w:line="240" w:lineRule="auto"/>
              <w:rPr>
                <w:rFonts w:ascii="Arial" w:eastAsia="Times New Roman" w:hAnsi="Arial" w:cs="Arial"/>
              </w:rPr>
            </w:pPr>
            <w:r w:rsidRPr="002F58ED">
              <w:rPr>
                <w:rFonts w:ascii="Arial" w:hAnsi="Arial" w:cs="Arial"/>
              </w:rPr>
              <w:t>4.</w:t>
            </w:r>
            <w:r w:rsidR="00D1368D">
              <w:rPr>
                <w:rFonts w:ascii="Arial" w:hAnsi="Arial" w:cs="Arial"/>
              </w:rPr>
              <w:t xml:space="preserve"> </w:t>
            </w:r>
            <w:proofErr w:type="gramStart"/>
            <w:r w:rsidRPr="002F58ED">
              <w:rPr>
                <w:rFonts w:ascii="Arial" w:hAnsi="Arial" w:cs="Arial"/>
              </w:rPr>
              <w:t>In order to</w:t>
            </w:r>
            <w:proofErr w:type="gramEnd"/>
            <w:r w:rsidRPr="002F58ED">
              <w:rPr>
                <w:rFonts w:ascii="Arial" w:hAnsi="Arial" w:cs="Arial"/>
              </w:rPr>
              <w:t xml:space="preserve"> enhance transparency, it is recommended that the County develop a worksheet or bill that can be distributed to the residents at the same time as the property tax bill to clearly demonstrate how the charges are determined.</w:t>
            </w:r>
          </w:p>
        </w:tc>
        <w:tc>
          <w:tcPr>
            <w:tcW w:w="3595" w:type="dxa"/>
          </w:tcPr>
          <w:p w14:paraId="6FA6A4BE" w14:textId="411EDC81" w:rsidR="0089482F" w:rsidRPr="0089482F" w:rsidRDefault="00B0047A" w:rsidP="00D54D67">
            <w:pPr>
              <w:spacing w:after="120" w:line="240" w:lineRule="auto"/>
              <w:jc w:val="left"/>
              <w:rPr>
                <w:rFonts w:ascii="Arial" w:eastAsia="Times New Roman" w:hAnsi="Arial" w:cs="Arial"/>
                <w:highlight w:val="yellow"/>
              </w:rPr>
            </w:pPr>
            <w:r>
              <w:rPr>
                <w:rFonts w:ascii="Arial" w:eastAsia="Times New Roman" w:hAnsi="Arial" w:cs="Arial"/>
              </w:rPr>
              <w:t xml:space="preserve">Done. </w:t>
            </w:r>
            <w:r w:rsidR="00BB5781">
              <w:rPr>
                <w:rFonts w:ascii="Arial" w:eastAsia="Times New Roman" w:hAnsi="Arial" w:cs="Arial"/>
              </w:rPr>
              <w:t>The intent of this recommendation was addressed by property t</w:t>
            </w:r>
            <w:r>
              <w:rPr>
                <w:rFonts w:ascii="Arial" w:eastAsia="Times New Roman" w:hAnsi="Arial" w:cs="Arial"/>
              </w:rPr>
              <w:t xml:space="preserve">ax bills </w:t>
            </w:r>
            <w:r w:rsidR="00240498">
              <w:rPr>
                <w:rFonts w:ascii="Arial" w:eastAsia="Times New Roman" w:hAnsi="Arial" w:cs="Arial"/>
              </w:rPr>
              <w:t xml:space="preserve">showing </w:t>
            </w:r>
            <w:r>
              <w:rPr>
                <w:rFonts w:ascii="Arial" w:eastAsia="Times New Roman" w:hAnsi="Arial" w:cs="Arial"/>
              </w:rPr>
              <w:t>separat</w:t>
            </w:r>
            <w:r w:rsidR="00240498">
              <w:rPr>
                <w:rFonts w:ascii="Arial" w:eastAsia="Times New Roman" w:hAnsi="Arial" w:cs="Arial"/>
              </w:rPr>
              <w:t>e</w:t>
            </w:r>
            <w:r w:rsidR="00BB5781">
              <w:rPr>
                <w:rFonts w:ascii="Arial" w:eastAsia="Times New Roman" w:hAnsi="Arial" w:cs="Arial"/>
              </w:rPr>
              <w:t xml:space="preserve"> charges</w:t>
            </w:r>
            <w:r>
              <w:rPr>
                <w:rFonts w:ascii="Arial" w:eastAsia="Times New Roman" w:hAnsi="Arial" w:cs="Arial"/>
              </w:rPr>
              <w:t xml:space="preserve">. </w:t>
            </w:r>
          </w:p>
        </w:tc>
      </w:tr>
      <w:tr w:rsidR="0089482F" w14:paraId="725DF350" w14:textId="77777777" w:rsidTr="00BB5781">
        <w:tc>
          <w:tcPr>
            <w:tcW w:w="5395" w:type="dxa"/>
          </w:tcPr>
          <w:p w14:paraId="15CDACD7" w14:textId="7C24963D" w:rsidR="0089482F" w:rsidRPr="0089482F" w:rsidRDefault="002F58ED" w:rsidP="0089482F">
            <w:pPr>
              <w:spacing w:after="120" w:line="240" w:lineRule="auto"/>
              <w:rPr>
                <w:rFonts w:ascii="Arial" w:eastAsia="Times New Roman" w:hAnsi="Arial" w:cs="Arial"/>
              </w:rPr>
            </w:pPr>
            <w:r w:rsidRPr="002F58ED">
              <w:rPr>
                <w:rFonts w:ascii="Arial" w:hAnsi="Arial" w:cs="Arial"/>
              </w:rPr>
              <w:t>5.</w:t>
            </w:r>
            <w:r w:rsidR="00D1368D">
              <w:rPr>
                <w:rFonts w:ascii="Arial" w:hAnsi="Arial" w:cs="Arial"/>
              </w:rPr>
              <w:t xml:space="preserve"> </w:t>
            </w:r>
            <w:r w:rsidRPr="002F58ED">
              <w:rPr>
                <w:rFonts w:ascii="Arial" w:hAnsi="Arial" w:cs="Arial"/>
              </w:rPr>
              <w:t>The County, in consultation with the CSA Advisory Committee, should consider amending the County-City contract to provide for direct billing for services by the City of Davis to El Macero residents to further enhance efficiency and transparency and save the CSA in administration fees to the County for billing. This recommendation assumes the existing sewer rate that has already been agreed upon by the City and the County would be retained for the duration of the existing term of agreement and future rates would continue to be negotiated between the CSA and the City of Davis, as necessary.</w:t>
            </w:r>
          </w:p>
        </w:tc>
        <w:tc>
          <w:tcPr>
            <w:tcW w:w="3595" w:type="dxa"/>
          </w:tcPr>
          <w:p w14:paraId="0E6C78AB" w14:textId="421AC963" w:rsidR="0089482F" w:rsidRDefault="002F58ED" w:rsidP="00D54D67">
            <w:pPr>
              <w:spacing w:after="120" w:line="240" w:lineRule="auto"/>
              <w:jc w:val="left"/>
              <w:rPr>
                <w:rFonts w:ascii="Arial" w:eastAsia="Times New Roman" w:hAnsi="Arial" w:cs="Arial"/>
              </w:rPr>
            </w:pPr>
            <w:r w:rsidRPr="002F58ED">
              <w:rPr>
                <w:rFonts w:ascii="Arial" w:eastAsia="Times New Roman" w:hAnsi="Arial" w:cs="Arial"/>
              </w:rPr>
              <w:t>This recommendation has not been implemented. LAFCo has reiterated this recommendation again in this MSR.</w:t>
            </w:r>
          </w:p>
        </w:tc>
      </w:tr>
    </w:tbl>
    <w:p w14:paraId="6B342B6B" w14:textId="77777777" w:rsidR="00A25C3D" w:rsidRDefault="00A25C3D" w:rsidP="00E669DD">
      <w:pPr>
        <w:spacing w:after="120" w:line="240" w:lineRule="auto"/>
        <w:ind w:left="360" w:hanging="360"/>
        <w:rPr>
          <w:rFonts w:ascii="Arial" w:eastAsia="Times New Roman" w:hAnsi="Arial" w:cs="Arial"/>
          <w:b/>
          <w:bCs/>
        </w:rPr>
      </w:pPr>
    </w:p>
    <w:p w14:paraId="461EC7B3" w14:textId="339D73DD" w:rsidR="008F118C" w:rsidRDefault="008F118C" w:rsidP="00E669DD">
      <w:pPr>
        <w:spacing w:after="120" w:line="240" w:lineRule="auto"/>
        <w:ind w:left="360" w:hanging="360"/>
        <w:rPr>
          <w:rFonts w:ascii="Arial" w:eastAsia="Times New Roman" w:hAnsi="Arial" w:cs="Arial"/>
          <w:b/>
        </w:rPr>
      </w:pPr>
      <w:r>
        <w:rPr>
          <w:rFonts w:ascii="Arial" w:eastAsia="Times New Roman" w:hAnsi="Arial" w:cs="Arial"/>
          <w:b/>
        </w:rPr>
        <w:t xml:space="preserve">Status of Previous </w:t>
      </w:r>
      <w:r w:rsidRPr="00AE605B">
        <w:rPr>
          <w:rFonts w:ascii="Arial" w:eastAsia="Times New Roman" w:hAnsi="Arial" w:cs="Arial"/>
          <w:b/>
        </w:rPr>
        <w:t xml:space="preserve">MSR </w:t>
      </w:r>
      <w:r>
        <w:rPr>
          <w:rFonts w:ascii="Arial" w:eastAsia="Times New Roman" w:hAnsi="Arial" w:cs="Arial"/>
          <w:b/>
        </w:rPr>
        <w:t xml:space="preserve">Recommendations </w:t>
      </w:r>
      <w:r w:rsidRPr="00AE605B">
        <w:rPr>
          <w:rFonts w:ascii="Arial" w:eastAsia="Times New Roman" w:hAnsi="Arial" w:cs="Arial"/>
          <w:b/>
        </w:rPr>
        <w:t>Determination</w:t>
      </w:r>
      <w:r>
        <w:rPr>
          <w:rFonts w:ascii="Arial" w:eastAsia="Times New Roman" w:hAnsi="Arial" w:cs="Arial"/>
          <w:b/>
        </w:rPr>
        <w:t>:</w:t>
      </w:r>
    </w:p>
    <w:p w14:paraId="4FF6D8BB" w14:textId="76E547E0" w:rsidR="002F58ED" w:rsidRDefault="002F58ED" w:rsidP="001B40E3">
      <w:pPr>
        <w:spacing w:after="120" w:line="240" w:lineRule="auto"/>
        <w:rPr>
          <w:rFonts w:ascii="Arial" w:eastAsia="Times New Roman" w:hAnsi="Arial" w:cs="Arial"/>
        </w:rPr>
      </w:pPr>
      <w:r w:rsidRPr="002F58ED">
        <w:rPr>
          <w:rFonts w:ascii="Arial" w:eastAsia="Times New Roman" w:hAnsi="Arial" w:cs="Arial"/>
        </w:rPr>
        <w:t xml:space="preserve">Of the five recommendations from the 2016 MSR, </w:t>
      </w:r>
      <w:r w:rsidR="006927EE">
        <w:rPr>
          <w:rFonts w:ascii="Arial" w:eastAsia="Times New Roman" w:hAnsi="Arial" w:cs="Arial"/>
        </w:rPr>
        <w:t>four</w:t>
      </w:r>
      <w:r w:rsidRPr="002F58ED">
        <w:rPr>
          <w:rFonts w:ascii="Arial" w:eastAsia="Times New Roman" w:hAnsi="Arial" w:cs="Arial"/>
        </w:rPr>
        <w:t xml:space="preserve"> are no longer needed or </w:t>
      </w:r>
      <w:r w:rsidR="004C76B1">
        <w:rPr>
          <w:rFonts w:ascii="Arial" w:eastAsia="Times New Roman" w:hAnsi="Arial" w:cs="Arial"/>
        </w:rPr>
        <w:t>are in</w:t>
      </w:r>
      <w:r w:rsidRPr="002F58ED">
        <w:rPr>
          <w:rFonts w:ascii="Arial" w:eastAsia="Times New Roman" w:hAnsi="Arial" w:cs="Arial"/>
        </w:rPr>
        <w:t xml:space="preserve">applicable. </w:t>
      </w:r>
      <w:r w:rsidR="006927EE">
        <w:rPr>
          <w:rFonts w:ascii="Arial" w:eastAsia="Times New Roman" w:hAnsi="Arial" w:cs="Arial"/>
        </w:rPr>
        <w:t xml:space="preserve">The one outstanding </w:t>
      </w:r>
      <w:r w:rsidRPr="002F58ED">
        <w:rPr>
          <w:rFonts w:ascii="Arial" w:eastAsia="Times New Roman" w:hAnsi="Arial" w:cs="Arial"/>
        </w:rPr>
        <w:t>recommendation regarding the City of Davis directly billing residents for water and sewer fees has been restated in this MSR.</w:t>
      </w:r>
    </w:p>
    <w:p w14:paraId="46BC4E39" w14:textId="77777777" w:rsidR="002F58ED" w:rsidRPr="002F58ED" w:rsidRDefault="002F58ED" w:rsidP="002F58ED">
      <w:pPr>
        <w:keepNext/>
        <w:keepLines/>
        <w:spacing w:after="120" w:line="240" w:lineRule="auto"/>
        <w:rPr>
          <w:rFonts w:ascii="Arial" w:eastAsia="Times New Roman" w:hAnsi="Arial" w:cs="Arial"/>
          <w:b/>
          <w:i/>
        </w:rPr>
      </w:pPr>
      <w:r w:rsidRPr="002F58ED">
        <w:rPr>
          <w:rFonts w:ascii="Arial" w:eastAsia="Times New Roman" w:hAnsi="Arial" w:cs="Arial"/>
          <w:b/>
        </w:rPr>
        <w:t>Status of Previous Recommendations MSR Recommendation</w:t>
      </w:r>
    </w:p>
    <w:p w14:paraId="606FC39B" w14:textId="650B1D2A" w:rsidR="002F58ED" w:rsidRDefault="00D1368D" w:rsidP="00D1368D">
      <w:pPr>
        <w:spacing w:after="120" w:line="240" w:lineRule="auto"/>
        <w:rPr>
          <w:rFonts w:ascii="Arial" w:eastAsia="Times New Roman" w:hAnsi="Arial" w:cs="Arial"/>
        </w:rPr>
      </w:pPr>
      <w:r w:rsidRPr="003C5573">
        <w:rPr>
          <w:rFonts w:ascii="Arial" w:eastAsia="Times New Roman" w:hAnsi="Arial" w:cs="Arial"/>
        </w:rPr>
        <w:t>See</w:t>
      </w:r>
      <w:r w:rsidRPr="003C5573">
        <w:rPr>
          <w:rFonts w:ascii="Arial" w:hAnsi="Arial" w:cs="Arial"/>
        </w:rPr>
        <w:t xml:space="preserve"> </w:t>
      </w:r>
      <w:r w:rsidR="003C5573" w:rsidRPr="003C5573">
        <w:rPr>
          <w:rFonts w:ascii="Arial" w:hAnsi="Arial" w:cs="Arial"/>
        </w:rPr>
        <w:t xml:space="preserve">Capacity and Adequacy of Public Facilities </w:t>
      </w:r>
      <w:r w:rsidR="003C5573">
        <w:rPr>
          <w:rFonts w:ascii="Arial" w:hAnsi="Arial" w:cs="Arial"/>
        </w:rPr>
        <w:t xml:space="preserve">and </w:t>
      </w:r>
      <w:r w:rsidRPr="003C5573">
        <w:rPr>
          <w:rFonts w:ascii="Arial" w:eastAsia="Times New Roman" w:hAnsi="Arial" w:cs="Arial"/>
        </w:rPr>
        <w:t>Accountability, Structure and Efficiencies MSR Recommendation</w:t>
      </w:r>
      <w:r w:rsidR="003C5573">
        <w:rPr>
          <w:rFonts w:ascii="Arial" w:eastAsia="Times New Roman" w:hAnsi="Arial" w:cs="Arial"/>
        </w:rPr>
        <w:t>s</w:t>
      </w:r>
      <w:r>
        <w:rPr>
          <w:rFonts w:ascii="Arial" w:eastAsia="Times New Roman" w:hAnsi="Arial" w:cs="Arial"/>
        </w:rPr>
        <w:t>.</w:t>
      </w:r>
      <w:r w:rsidR="002F58ED" w:rsidRPr="002F58ED">
        <w:rPr>
          <w:rFonts w:ascii="Arial" w:eastAsia="Times New Roman" w:hAnsi="Arial" w:cs="Arial"/>
        </w:rPr>
        <w:t xml:space="preserve"> </w:t>
      </w:r>
    </w:p>
    <w:p w14:paraId="60E07AEA" w14:textId="77777777" w:rsidR="00D1368D" w:rsidRPr="002F58ED" w:rsidRDefault="00D1368D" w:rsidP="00D1368D">
      <w:pPr>
        <w:spacing w:after="120" w:line="240" w:lineRule="auto"/>
        <w:rPr>
          <w:rFonts w:ascii="Arial" w:eastAsia="Calibri" w:hAnsi="Arial" w:cs="Arial"/>
          <w:iCs w:val="0"/>
        </w:rPr>
      </w:pPr>
    </w:p>
    <w:p w14:paraId="6D881CCA" w14:textId="77777777" w:rsidR="0018424A" w:rsidRPr="00E13F58" w:rsidRDefault="0018424A" w:rsidP="00BD1F08">
      <w:pPr>
        <w:pStyle w:val="Heading1"/>
        <w:spacing w:line="240" w:lineRule="auto"/>
        <w:rPr>
          <w:rFonts w:ascii="Arial" w:hAnsi="Arial" w:cs="Arial"/>
          <w:i/>
        </w:rPr>
      </w:pPr>
      <w:bookmarkStart w:id="26" w:name="_Toc108186095"/>
      <w:r w:rsidRPr="00E13F58">
        <w:rPr>
          <w:rFonts w:ascii="Arial" w:hAnsi="Arial" w:cs="Arial"/>
        </w:rPr>
        <w:lastRenderedPageBreak/>
        <w:t>SPHER</w:t>
      </w:r>
      <w:r w:rsidR="005E7866" w:rsidRPr="00E13F58">
        <w:rPr>
          <w:rFonts w:ascii="Arial" w:hAnsi="Arial" w:cs="Arial"/>
        </w:rPr>
        <w:t>E OF INFLUENCE</w:t>
      </w:r>
      <w:r w:rsidR="008D5FE9" w:rsidRPr="00E13F58">
        <w:rPr>
          <w:rFonts w:ascii="Arial" w:hAnsi="Arial" w:cs="Arial"/>
        </w:rPr>
        <w:t xml:space="preserve"> </w:t>
      </w:r>
      <w:r w:rsidR="00391E14" w:rsidRPr="00E13F58">
        <w:rPr>
          <w:rFonts w:ascii="Arial" w:hAnsi="Arial" w:cs="Arial"/>
        </w:rPr>
        <w:t>STUDY</w:t>
      </w:r>
      <w:bookmarkEnd w:id="26"/>
    </w:p>
    <w:p w14:paraId="19C57569" w14:textId="16D1A6C5" w:rsidR="008D5FE9" w:rsidRPr="00E13F58" w:rsidRDefault="008D5FE9" w:rsidP="00E669DD">
      <w:pPr>
        <w:spacing w:after="120" w:line="240" w:lineRule="auto"/>
        <w:rPr>
          <w:rFonts w:ascii="Arial" w:hAnsi="Arial" w:cs="Arial"/>
          <w:i/>
        </w:rPr>
      </w:pPr>
      <w:proofErr w:type="gramStart"/>
      <w:r w:rsidRPr="00E13F58">
        <w:rPr>
          <w:rFonts w:ascii="Arial" w:hAnsi="Arial" w:cs="Arial"/>
        </w:rPr>
        <w:t>On the basis of</w:t>
      </w:r>
      <w:proofErr w:type="gramEnd"/>
      <w:r w:rsidRPr="00E13F58">
        <w:rPr>
          <w:rFonts w:ascii="Arial" w:hAnsi="Arial" w:cs="Arial"/>
        </w:rPr>
        <w:t xml:space="preserve"> the Municipal Service Review:</w:t>
      </w:r>
    </w:p>
    <w:p w14:paraId="4735F2B8" w14:textId="645A9D60" w:rsidR="008D5FE9" w:rsidRPr="00E13F58" w:rsidRDefault="000E58FF" w:rsidP="00E669DD">
      <w:pPr>
        <w:spacing w:after="120" w:line="240" w:lineRule="auto"/>
        <w:ind w:left="720" w:hanging="720"/>
        <w:rPr>
          <w:rFonts w:ascii="Arial" w:hAnsi="Arial" w:cs="Arial"/>
          <w:i/>
        </w:rPr>
      </w:pPr>
      <w:r>
        <w:rPr>
          <w:rFonts w:ascii="Arial" w:hAnsi="Arial" w:cs="Arial"/>
          <w:i/>
        </w:rPr>
        <w:fldChar w:fldCharType="begin">
          <w:ffData>
            <w:name w:val="Check18"/>
            <w:enabled/>
            <w:calcOnExit w:val="0"/>
            <w:checkBox>
              <w:sizeAuto/>
              <w:default w:val="1"/>
            </w:checkBox>
          </w:ffData>
        </w:fldChar>
      </w:r>
      <w:bookmarkStart w:id="27" w:name="Check18"/>
      <w:r>
        <w:rPr>
          <w:rFonts w:ascii="Arial" w:hAnsi="Arial" w:cs="Arial"/>
          <w:i/>
        </w:rPr>
        <w:instrText xml:space="preserve"> FORMCHECKBOX </w:instrText>
      </w:r>
      <w:r w:rsidR="00240498">
        <w:rPr>
          <w:rFonts w:ascii="Arial" w:hAnsi="Arial" w:cs="Arial"/>
          <w:i/>
        </w:rPr>
      </w:r>
      <w:r w:rsidR="00240498">
        <w:rPr>
          <w:rFonts w:ascii="Arial" w:hAnsi="Arial" w:cs="Arial"/>
          <w:i/>
        </w:rPr>
        <w:fldChar w:fldCharType="separate"/>
      </w:r>
      <w:r>
        <w:rPr>
          <w:rFonts w:ascii="Arial" w:hAnsi="Arial" w:cs="Arial"/>
          <w:i/>
        </w:rPr>
        <w:fldChar w:fldCharType="end"/>
      </w:r>
      <w:bookmarkEnd w:id="27"/>
      <w:r w:rsidR="008D5FE9" w:rsidRPr="00E13F58">
        <w:rPr>
          <w:rFonts w:ascii="Arial" w:hAnsi="Arial" w:cs="Arial"/>
        </w:rPr>
        <w:tab/>
        <w:t xml:space="preserve">Staff </w:t>
      </w:r>
      <w:r w:rsidR="004A1676" w:rsidRPr="00E13F58">
        <w:rPr>
          <w:rFonts w:ascii="Arial" w:hAnsi="Arial" w:cs="Arial"/>
        </w:rPr>
        <w:t xml:space="preserve">has reviewed the agency’s Sphere of Influence and recommends that a SOI Update is </w:t>
      </w:r>
      <w:r w:rsidR="004A1676" w:rsidRPr="00E13F58">
        <w:rPr>
          <w:rFonts w:ascii="Arial" w:hAnsi="Arial" w:cs="Arial"/>
          <w:caps/>
        </w:rPr>
        <w:t>not necessary</w:t>
      </w:r>
      <w:r w:rsidR="004A1676" w:rsidRPr="00E13F58">
        <w:rPr>
          <w:rFonts w:ascii="Arial" w:hAnsi="Arial" w:cs="Arial"/>
        </w:rPr>
        <w:t xml:space="preserve"> in accordance with Government Code Section 56425(g). </w:t>
      </w:r>
      <w:r w:rsidR="008D5FE9" w:rsidRPr="00E13F58">
        <w:rPr>
          <w:rFonts w:ascii="Arial" w:hAnsi="Arial" w:cs="Arial"/>
        </w:rPr>
        <w:t>Therefore, NO CHANGE to the agency’s SOI is recommended and SOI determinations HAVE NOT been made.</w:t>
      </w:r>
    </w:p>
    <w:p w14:paraId="7BAD51CF" w14:textId="77777777" w:rsidR="008D5FE9" w:rsidRPr="00E13F58" w:rsidRDefault="008D5FE9" w:rsidP="00E669DD">
      <w:pPr>
        <w:spacing w:after="120" w:line="240" w:lineRule="auto"/>
        <w:ind w:left="720" w:hanging="720"/>
        <w:rPr>
          <w:rFonts w:ascii="Arial" w:hAnsi="Arial" w:cs="Arial"/>
          <w:i/>
        </w:rPr>
      </w:pPr>
      <w:r w:rsidRPr="00E13F58">
        <w:rPr>
          <w:rFonts w:ascii="Arial" w:hAnsi="Arial" w:cs="Arial"/>
          <w:i/>
        </w:rPr>
        <w:fldChar w:fldCharType="begin">
          <w:ffData>
            <w:name w:val="Check19"/>
            <w:enabled/>
            <w:calcOnExit w:val="0"/>
            <w:checkBox>
              <w:sizeAuto/>
              <w:default w:val="0"/>
            </w:checkBox>
          </w:ffData>
        </w:fldChar>
      </w:r>
      <w:bookmarkStart w:id="28" w:name="Check19"/>
      <w:r w:rsidRPr="00E13F58">
        <w:rPr>
          <w:rFonts w:ascii="Arial" w:hAnsi="Arial" w:cs="Arial"/>
        </w:rPr>
        <w:instrText xml:space="preserve"> FORMCHECKBOX </w:instrText>
      </w:r>
      <w:r w:rsidR="00240498">
        <w:rPr>
          <w:rFonts w:ascii="Arial" w:hAnsi="Arial" w:cs="Arial"/>
          <w:i/>
        </w:rPr>
      </w:r>
      <w:r w:rsidR="00240498">
        <w:rPr>
          <w:rFonts w:ascii="Arial" w:hAnsi="Arial" w:cs="Arial"/>
          <w:i/>
        </w:rPr>
        <w:fldChar w:fldCharType="separate"/>
      </w:r>
      <w:r w:rsidRPr="00E13F58">
        <w:rPr>
          <w:rFonts w:ascii="Arial" w:hAnsi="Arial" w:cs="Arial"/>
          <w:i/>
        </w:rPr>
        <w:fldChar w:fldCharType="end"/>
      </w:r>
      <w:bookmarkEnd w:id="28"/>
      <w:r w:rsidRPr="00E13F58">
        <w:rPr>
          <w:rFonts w:ascii="Arial" w:hAnsi="Arial" w:cs="Arial"/>
        </w:rPr>
        <w:tab/>
      </w:r>
      <w:r w:rsidR="004A1676" w:rsidRPr="00E13F58">
        <w:rPr>
          <w:rFonts w:ascii="Arial" w:hAnsi="Arial" w:cs="Arial"/>
        </w:rPr>
        <w:t>Staff has reviewed the agency’s Sphere of Influence and recommends that a SOI Update IS NECESSARY in accordance with Government Code Section 56425(g).</w:t>
      </w:r>
      <w:r w:rsidRPr="00E13F58">
        <w:rPr>
          <w:rFonts w:ascii="Arial" w:hAnsi="Arial" w:cs="Arial"/>
        </w:rPr>
        <w:t xml:space="preserve"> Therefore, A CHANGE to the agency’s SOI is recommended and SOI determinations HAVE been made and are included in this MSR/SOI study.</w:t>
      </w:r>
    </w:p>
    <w:sectPr w:rsidR="008D5FE9" w:rsidRPr="00E13F58" w:rsidSect="00EF6B5B">
      <w:headerReference w:type="default" r:id="rId15"/>
      <w:footerReference w:type="default" r:id="rId16"/>
      <w:type w:val="continuous"/>
      <w:pgSz w:w="12240" w:h="15840" w:code="1"/>
      <w:pgMar w:top="1440" w:right="1440" w:bottom="1440" w:left="1440" w:header="1008"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B51C0" w14:textId="77777777" w:rsidR="00A91A52" w:rsidRDefault="00A91A52">
      <w:r>
        <w:separator/>
      </w:r>
    </w:p>
  </w:endnote>
  <w:endnote w:type="continuationSeparator" w:id="0">
    <w:p w14:paraId="0DEFBDDD" w14:textId="77777777" w:rsidR="00A91A52" w:rsidRDefault="00A9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D388" w14:textId="77777777" w:rsidR="00A91A52" w:rsidRPr="00391E14" w:rsidRDefault="00A91A52" w:rsidP="00391E14">
    <w:pPr>
      <w:pStyle w:val="Footer"/>
      <w:tabs>
        <w:tab w:val="clear" w:pos="8640"/>
        <w:tab w:val="left" w:pos="0"/>
        <w:tab w:val="right" w:pos="9360"/>
      </w:tabs>
      <w:spacing w:after="0" w:line="240" w:lineRule="auto"/>
      <w:jc w:val="center"/>
      <w:rPr>
        <w:rFonts w:ascii="CG Omega" w:hAnsi="CG Omega"/>
        <w:b/>
        <w:sz w:val="12"/>
        <w:szCs w:val="12"/>
      </w:rPr>
    </w:pPr>
  </w:p>
  <w:p w14:paraId="2B1FE4DE" w14:textId="033F0284" w:rsidR="00A91A52" w:rsidRPr="009C5B65" w:rsidRDefault="00A91A52" w:rsidP="0073014A">
    <w:pPr>
      <w:pStyle w:val="Footer"/>
      <w:pBdr>
        <w:top w:val="single" w:sz="4" w:space="1" w:color="auto"/>
      </w:pBdr>
      <w:tabs>
        <w:tab w:val="clear" w:pos="8640"/>
        <w:tab w:val="left" w:pos="0"/>
        <w:tab w:val="right" w:pos="12960"/>
      </w:tabs>
      <w:spacing w:after="0" w:line="240" w:lineRule="auto"/>
      <w:jc w:val="center"/>
      <w:rPr>
        <w:rFonts w:ascii="Arial" w:hAnsi="Arial" w:cs="Arial"/>
        <w:b/>
        <w:sz w:val="18"/>
        <w:szCs w:val="18"/>
      </w:rPr>
    </w:pPr>
    <w:r>
      <w:rPr>
        <w:rFonts w:ascii="Arial" w:hAnsi="Arial" w:cs="Arial"/>
        <w:b/>
        <w:sz w:val="18"/>
        <w:szCs w:val="18"/>
      </w:rPr>
      <w:t>County Service Areas</w:t>
    </w:r>
    <w:r w:rsidRPr="009C5B65">
      <w:rPr>
        <w:rFonts w:ascii="Arial" w:hAnsi="Arial" w:cs="Arial"/>
        <w:b/>
        <w:sz w:val="18"/>
        <w:szCs w:val="18"/>
      </w:rPr>
      <w:t xml:space="preserve"> MSR/SOI</w:t>
    </w:r>
    <w:r w:rsidRPr="009C5B65">
      <w:rPr>
        <w:rFonts w:ascii="Arial" w:hAnsi="Arial" w:cs="Arial"/>
        <w:b/>
        <w:sz w:val="18"/>
        <w:szCs w:val="18"/>
      </w:rPr>
      <w:tab/>
    </w:r>
    <w:r w:rsidRPr="009C5B65">
      <w:rPr>
        <w:rFonts w:ascii="Arial" w:hAnsi="Arial" w:cs="Arial"/>
        <w:b/>
        <w:sz w:val="18"/>
        <w:szCs w:val="18"/>
      </w:rPr>
      <w:tab/>
    </w:r>
    <w:r>
      <w:rPr>
        <w:rFonts w:ascii="Arial" w:hAnsi="Arial" w:cs="Arial"/>
        <w:b/>
        <w:sz w:val="18"/>
        <w:szCs w:val="18"/>
      </w:rPr>
      <w:t>El Macero</w:t>
    </w:r>
    <w:r w:rsidRPr="00EF6B5B">
      <w:rPr>
        <w:rFonts w:ascii="Arial" w:hAnsi="Arial" w:cs="Arial"/>
        <w:b/>
        <w:sz w:val="18"/>
        <w:szCs w:val="18"/>
      </w:rPr>
      <w:t xml:space="preserve"> CSA</w:t>
    </w:r>
    <w:r>
      <w:rPr>
        <w:rFonts w:ascii="Arial" w:hAnsi="Arial" w:cs="Arial"/>
        <w:b/>
        <w:sz w:val="18"/>
        <w:szCs w:val="18"/>
      </w:rPr>
      <w:t xml:space="preserve"> #1</w:t>
    </w:r>
  </w:p>
  <w:p w14:paraId="019BE561" w14:textId="54FDDD70" w:rsidR="00A91A52" w:rsidRPr="00184588" w:rsidRDefault="00A91A52" w:rsidP="0073014A">
    <w:pPr>
      <w:pStyle w:val="Footer"/>
      <w:tabs>
        <w:tab w:val="clear" w:pos="8640"/>
        <w:tab w:val="right" w:pos="12960"/>
      </w:tabs>
      <w:spacing w:after="0" w:line="240" w:lineRule="auto"/>
      <w:jc w:val="center"/>
      <w:rPr>
        <w:rFonts w:ascii="Arial" w:hAnsi="Arial" w:cs="Arial"/>
        <w:b/>
        <w:sz w:val="18"/>
        <w:szCs w:val="18"/>
      </w:rPr>
    </w:pPr>
    <w:r>
      <w:rPr>
        <w:rFonts w:ascii="Arial" w:hAnsi="Arial" w:cs="Arial"/>
        <w:b/>
        <w:sz w:val="18"/>
        <w:szCs w:val="18"/>
      </w:rPr>
      <w:t>LAFCo No. 21-04</w:t>
    </w:r>
    <w:r w:rsidRPr="00184588">
      <w:rPr>
        <w:rFonts w:ascii="Arial" w:hAnsi="Arial" w:cs="Arial"/>
        <w:b/>
        <w:sz w:val="18"/>
        <w:szCs w:val="18"/>
      </w:rPr>
      <w:tab/>
    </w:r>
    <w:r w:rsidRPr="00184588">
      <w:rPr>
        <w:rFonts w:ascii="Arial" w:hAnsi="Arial" w:cs="Arial"/>
        <w:b/>
        <w:sz w:val="18"/>
        <w:szCs w:val="18"/>
      </w:rPr>
      <w:tab/>
    </w:r>
    <w:r>
      <w:rPr>
        <w:rFonts w:ascii="Arial" w:hAnsi="Arial" w:cs="Arial"/>
        <w:b/>
        <w:sz w:val="18"/>
        <w:szCs w:val="18"/>
      </w:rPr>
      <w:t xml:space="preserve">Administrative </w:t>
    </w:r>
    <w:r w:rsidRPr="00545726">
      <w:rPr>
        <w:rFonts w:ascii="Arial" w:hAnsi="Arial" w:cs="Arial"/>
        <w:b/>
        <w:sz w:val="18"/>
        <w:szCs w:val="18"/>
      </w:rPr>
      <w:t xml:space="preserve">Draft </w:t>
    </w:r>
    <w:r w:rsidRPr="00D1368D">
      <w:rPr>
        <w:rFonts w:ascii="Arial" w:hAnsi="Arial" w:cs="Arial"/>
        <w:b/>
        <w:sz w:val="18"/>
        <w:szCs w:val="18"/>
        <w:highlight w:val="yellow"/>
      </w:rPr>
      <w:fldChar w:fldCharType="begin"/>
    </w:r>
    <w:r w:rsidRPr="00D1368D">
      <w:rPr>
        <w:rFonts w:ascii="Arial" w:hAnsi="Arial" w:cs="Arial"/>
        <w:b/>
        <w:sz w:val="18"/>
        <w:szCs w:val="18"/>
        <w:highlight w:val="yellow"/>
      </w:rPr>
      <w:instrText xml:space="preserve"> DATE \@ "MMMM d, yyyy" </w:instrText>
    </w:r>
    <w:r w:rsidRPr="00D1368D">
      <w:rPr>
        <w:rFonts w:ascii="Arial" w:hAnsi="Arial" w:cs="Arial"/>
        <w:b/>
        <w:sz w:val="18"/>
        <w:szCs w:val="18"/>
        <w:highlight w:val="yellow"/>
      </w:rPr>
      <w:fldChar w:fldCharType="separate"/>
    </w:r>
    <w:r w:rsidR="00240498">
      <w:rPr>
        <w:rFonts w:ascii="Arial" w:hAnsi="Arial" w:cs="Arial"/>
        <w:b/>
        <w:noProof/>
        <w:sz w:val="18"/>
        <w:szCs w:val="18"/>
        <w:highlight w:val="yellow"/>
      </w:rPr>
      <w:t>October 31, 2022</w:t>
    </w:r>
    <w:r w:rsidRPr="00D1368D">
      <w:rPr>
        <w:rFonts w:ascii="Arial" w:hAnsi="Arial" w:cs="Arial"/>
        <w:b/>
        <w:sz w:val="18"/>
        <w:szCs w:val="18"/>
        <w:highlight w:val="yellow"/>
      </w:rPr>
      <w:fldChar w:fldCharType="end"/>
    </w:r>
  </w:p>
  <w:p w14:paraId="4B49EBF5" w14:textId="35F7D3A6" w:rsidR="00A91A52" w:rsidRPr="0088456E" w:rsidRDefault="00A91A52" w:rsidP="00184588">
    <w:pPr>
      <w:pStyle w:val="Footer"/>
      <w:spacing w:after="0" w:line="240" w:lineRule="auto"/>
      <w:jc w:val="center"/>
      <w:rPr>
        <w:rFonts w:ascii="Arial" w:hAnsi="Arial" w:cs="Arial"/>
        <w:iCs w:val="0"/>
      </w:rPr>
    </w:pPr>
    <w:r w:rsidRPr="0088456E">
      <w:rPr>
        <w:rStyle w:val="PageNumber"/>
        <w:rFonts w:ascii="Arial" w:hAnsi="Arial" w:cs="Arial"/>
        <w:iCs w:val="0"/>
      </w:rPr>
      <w:t>3-</w:t>
    </w:r>
    <w:r w:rsidRPr="0088456E">
      <w:rPr>
        <w:rStyle w:val="PageNumber"/>
        <w:rFonts w:ascii="Arial" w:hAnsi="Arial" w:cs="Arial"/>
        <w:iCs w:val="0"/>
      </w:rPr>
      <w:fldChar w:fldCharType="begin"/>
    </w:r>
    <w:r w:rsidRPr="0088456E">
      <w:rPr>
        <w:rStyle w:val="PageNumber"/>
        <w:rFonts w:ascii="Arial" w:hAnsi="Arial" w:cs="Arial"/>
        <w:iCs w:val="0"/>
      </w:rPr>
      <w:instrText xml:space="preserve"> PAGE </w:instrText>
    </w:r>
    <w:r w:rsidRPr="0088456E">
      <w:rPr>
        <w:rStyle w:val="PageNumber"/>
        <w:rFonts w:ascii="Arial" w:hAnsi="Arial" w:cs="Arial"/>
        <w:iCs w:val="0"/>
      </w:rPr>
      <w:fldChar w:fldCharType="separate"/>
    </w:r>
    <w:r w:rsidRPr="0088456E">
      <w:rPr>
        <w:rStyle w:val="PageNumber"/>
        <w:rFonts w:ascii="Arial" w:hAnsi="Arial" w:cs="Arial"/>
        <w:iCs w:val="0"/>
        <w:noProof/>
      </w:rPr>
      <w:t>18</w:t>
    </w:r>
    <w:r w:rsidRPr="0088456E">
      <w:rPr>
        <w:rStyle w:val="PageNumber"/>
        <w:rFonts w:ascii="Arial" w:hAnsi="Arial" w:cs="Arial"/>
        <w:i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F93B1" w14:textId="77777777" w:rsidR="00A91A52" w:rsidRDefault="00A91A52">
      <w:r>
        <w:separator/>
      </w:r>
    </w:p>
  </w:footnote>
  <w:footnote w:type="continuationSeparator" w:id="0">
    <w:p w14:paraId="0E3067F7" w14:textId="77777777" w:rsidR="00A91A52" w:rsidRDefault="00A91A52">
      <w:r>
        <w:continuationSeparator/>
      </w:r>
    </w:p>
  </w:footnote>
  <w:footnote w:id="1">
    <w:p w14:paraId="68EC0FDC" w14:textId="1A75F124" w:rsidR="00A91A52" w:rsidRDefault="00A91A52">
      <w:pPr>
        <w:pStyle w:val="FootnoteText"/>
      </w:pPr>
      <w:r>
        <w:rPr>
          <w:rStyle w:val="FootnoteReference"/>
        </w:rPr>
        <w:footnoteRef/>
      </w:r>
      <w:r>
        <w:t xml:space="preserve"> </w:t>
      </w:r>
      <w:r w:rsidRPr="00652EBE">
        <w:t>CALAFCO Statewide DUCs Refined GIS Layer, RSG, Inc. December 10, 2021</w:t>
      </w:r>
    </w:p>
  </w:footnote>
  <w:footnote w:id="2">
    <w:p w14:paraId="7A775AEC" w14:textId="77777777" w:rsidR="00A91A52" w:rsidRPr="00652EBE" w:rsidRDefault="00A91A52" w:rsidP="00D1368D">
      <w:pPr>
        <w:pStyle w:val="FootnoteText"/>
        <w:spacing w:after="120" w:line="240" w:lineRule="auto"/>
        <w:rPr>
          <w:rFonts w:cs="Arial"/>
        </w:rPr>
      </w:pPr>
      <w:r>
        <w:rPr>
          <w:rStyle w:val="FootnoteReference"/>
        </w:rPr>
        <w:footnoteRef/>
      </w:r>
      <w:r>
        <w:t xml:space="preserve"> </w:t>
      </w:r>
      <w:r w:rsidRPr="00652EBE">
        <w:rPr>
          <w:rFonts w:cs="Arial"/>
        </w:rPr>
        <w:t>Yolo County Financial Data INFOR reports</w:t>
      </w:r>
    </w:p>
  </w:footnote>
  <w:footnote w:id="3">
    <w:p w14:paraId="437EFBA7" w14:textId="77777777" w:rsidR="00A91A52" w:rsidRDefault="00A91A52" w:rsidP="0094741F">
      <w:pPr>
        <w:pStyle w:val="FootnoteText"/>
      </w:pPr>
      <w:r>
        <w:rPr>
          <w:rStyle w:val="FootnoteReference"/>
        </w:rPr>
        <w:footnoteRef/>
      </w:r>
      <w:r>
        <w:t xml:space="preserve"> County of Yolo Resolution No. 22-61 regarding charges on the 2022-23 tax roll for CSAs</w:t>
      </w:r>
    </w:p>
  </w:footnote>
  <w:footnote w:id="4">
    <w:p w14:paraId="64DD76F6" w14:textId="4DC32A5A" w:rsidR="00A91A52" w:rsidRDefault="00A91A52" w:rsidP="00652EBE">
      <w:pPr>
        <w:pStyle w:val="FootnoteText"/>
        <w:spacing w:after="120" w:line="240" w:lineRule="auto"/>
      </w:pPr>
      <w:r>
        <w:rPr>
          <w:rStyle w:val="FootnoteReference"/>
        </w:rPr>
        <w:footnoteRef/>
      </w:r>
      <w:r>
        <w:t xml:space="preserve"> </w:t>
      </w:r>
      <w:r w:rsidRPr="00652EBE">
        <w:t>County Service Areas Government Code Sections 25210 – 25217.4</w:t>
      </w:r>
    </w:p>
  </w:footnote>
  <w:footnote w:id="5">
    <w:p w14:paraId="1C176F31" w14:textId="77777777" w:rsidR="00A91A52" w:rsidRDefault="00A91A52" w:rsidP="00146BB6">
      <w:pPr>
        <w:pStyle w:val="FootnoteText"/>
        <w:spacing w:after="120" w:line="240" w:lineRule="auto"/>
      </w:pPr>
      <w:r>
        <w:rPr>
          <w:rStyle w:val="FootnoteReference"/>
        </w:rPr>
        <w:footnoteRef/>
      </w:r>
      <w:r>
        <w:t xml:space="preserve"> County of Yolo Agenda Quick Term Tracker module 10/27/2022</w:t>
      </w:r>
    </w:p>
  </w:footnote>
  <w:footnote w:id="6">
    <w:p w14:paraId="351474E6" w14:textId="77777777" w:rsidR="00A91A52" w:rsidRPr="00A60B8C" w:rsidRDefault="00A91A52" w:rsidP="00D1368D">
      <w:pPr>
        <w:pStyle w:val="FootnoteText"/>
        <w:spacing w:after="120" w:line="240" w:lineRule="auto"/>
        <w:rPr>
          <w:sz w:val="18"/>
          <w:szCs w:val="18"/>
        </w:rPr>
      </w:pPr>
      <w:r w:rsidRPr="00A60B8C">
        <w:rPr>
          <w:rStyle w:val="FootnoteReference"/>
          <w:sz w:val="18"/>
          <w:szCs w:val="18"/>
        </w:rPr>
        <w:footnoteRef/>
      </w:r>
      <w:r w:rsidRPr="00A60B8C">
        <w:rPr>
          <w:sz w:val="18"/>
          <w:szCs w:val="18"/>
        </w:rPr>
        <w:t xml:space="preserve"> Per email dated July 6, 2021 from Sandeep Singh, Manager, Local Government Policy Section Office of State Controller, Local Government Programs and Services Division</w:t>
      </w:r>
    </w:p>
  </w:footnote>
  <w:footnote w:id="7">
    <w:p w14:paraId="12378A90" w14:textId="69218A9F" w:rsidR="00A91A52" w:rsidRDefault="00A91A52" w:rsidP="00D1368D">
      <w:pPr>
        <w:pStyle w:val="FootnoteText"/>
        <w:spacing w:after="120" w:line="240" w:lineRule="auto"/>
      </w:pPr>
      <w:r>
        <w:rPr>
          <w:rStyle w:val="FootnoteReference"/>
        </w:rPr>
        <w:footnoteRef/>
      </w:r>
      <w:r>
        <w:t xml:space="preserve"> </w:t>
      </w:r>
      <w:r w:rsidRPr="00D1368D">
        <w:t>https://www.yololafco.org/yolo-local-government-website-transparency-scorecards</w:t>
      </w:r>
    </w:p>
  </w:footnote>
  <w:footnote w:id="8">
    <w:p w14:paraId="6560B1CB" w14:textId="7C5B7E4E" w:rsidR="00A91A52" w:rsidRDefault="00A91A52" w:rsidP="00A60408">
      <w:pPr>
        <w:pStyle w:val="FootnoteText"/>
        <w:spacing w:after="120" w:line="240" w:lineRule="auto"/>
      </w:pPr>
      <w:r>
        <w:rPr>
          <w:rStyle w:val="FootnoteReference"/>
        </w:rPr>
        <w:footnoteRef/>
      </w:r>
      <w:r>
        <w:t xml:space="preserve"> </w:t>
      </w:r>
      <w:r w:rsidRPr="00A60408">
        <w:t>California Interactive Broadband Map, December 31, 2019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F36D" w14:textId="64104DAA" w:rsidR="00A91A52" w:rsidRPr="00184588" w:rsidRDefault="00240498" w:rsidP="00184588">
    <w:pPr>
      <w:pStyle w:val="Header2"/>
      <w:spacing w:after="120" w:line="240" w:lineRule="auto"/>
      <w:jc w:val="right"/>
      <w:rPr>
        <w:rFonts w:ascii="Arial" w:hAnsi="Arial" w:cs="Arial"/>
        <w:b w:val="0"/>
        <w:i/>
        <w:sz w:val="22"/>
        <w:szCs w:val="22"/>
      </w:rPr>
    </w:pPr>
    <w:sdt>
      <w:sdtPr>
        <w:rPr>
          <w:rFonts w:ascii="Arial" w:hAnsi="Arial" w:cs="Arial"/>
          <w:sz w:val="22"/>
          <w:szCs w:val="22"/>
        </w:rPr>
        <w:id w:val="1469012625"/>
        <w:docPartObj>
          <w:docPartGallery w:val="Watermarks"/>
          <w:docPartUnique/>
        </w:docPartObj>
      </w:sdtPr>
      <w:sdtEndPr/>
      <w:sdtContent>
        <w:r>
          <w:rPr>
            <w:rFonts w:ascii="Arial" w:hAnsi="Arial" w:cs="Arial"/>
            <w:noProof/>
            <w:sz w:val="22"/>
            <w:szCs w:val="22"/>
          </w:rPr>
          <w:pict w14:anchorId="04F81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91A52" w:rsidRPr="00184588">
      <w:rPr>
        <w:rFonts w:ascii="Arial" w:hAnsi="Arial" w:cs="Arial"/>
        <w:sz w:val="22"/>
        <w:szCs w:val="22"/>
      </w:rPr>
      <w:t>Yolo LAFCo Municipal Service Review/Sphere of Influence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340"/>
    <w:multiLevelType w:val="hybridMultilevel"/>
    <w:tmpl w:val="4D5E9FAC"/>
    <w:lvl w:ilvl="0" w:tplc="FDCE811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E31BC"/>
    <w:multiLevelType w:val="hybridMultilevel"/>
    <w:tmpl w:val="A392A8DE"/>
    <w:lvl w:ilvl="0" w:tplc="A3AED66C">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53427"/>
    <w:multiLevelType w:val="hybridMultilevel"/>
    <w:tmpl w:val="A87AD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D6BAC"/>
    <w:multiLevelType w:val="hybridMultilevel"/>
    <w:tmpl w:val="64F213CA"/>
    <w:lvl w:ilvl="0" w:tplc="B3740324">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284CAD"/>
    <w:multiLevelType w:val="hybridMultilevel"/>
    <w:tmpl w:val="C17E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6185"/>
    <w:multiLevelType w:val="hybridMultilevel"/>
    <w:tmpl w:val="A8A072E0"/>
    <w:lvl w:ilvl="0" w:tplc="5DB45DD6">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19D4"/>
    <w:multiLevelType w:val="hybridMultilevel"/>
    <w:tmpl w:val="C270FBB4"/>
    <w:lvl w:ilvl="0" w:tplc="BE02DC1C">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62D00"/>
    <w:multiLevelType w:val="hybridMultilevel"/>
    <w:tmpl w:val="4A1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60B05"/>
    <w:multiLevelType w:val="hybridMultilevel"/>
    <w:tmpl w:val="75825BF4"/>
    <w:lvl w:ilvl="0" w:tplc="0C4AB51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2B04A4"/>
    <w:multiLevelType w:val="hybridMultilevel"/>
    <w:tmpl w:val="5B6E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A629B"/>
    <w:multiLevelType w:val="hybridMultilevel"/>
    <w:tmpl w:val="9EC0DADA"/>
    <w:lvl w:ilvl="0" w:tplc="7B0E2966">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979FE"/>
    <w:multiLevelType w:val="hybridMultilevel"/>
    <w:tmpl w:val="C414B7EE"/>
    <w:lvl w:ilvl="0" w:tplc="BB3C6DD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51145"/>
    <w:multiLevelType w:val="hybridMultilevel"/>
    <w:tmpl w:val="64547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B4705"/>
    <w:multiLevelType w:val="hybridMultilevel"/>
    <w:tmpl w:val="AA06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C0B28"/>
    <w:multiLevelType w:val="hybridMultilevel"/>
    <w:tmpl w:val="69C65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4C25EF"/>
    <w:multiLevelType w:val="hybridMultilevel"/>
    <w:tmpl w:val="B714112A"/>
    <w:lvl w:ilvl="0" w:tplc="DBF26952">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FB44CB"/>
    <w:multiLevelType w:val="hybridMultilevel"/>
    <w:tmpl w:val="D5E2F510"/>
    <w:lvl w:ilvl="0" w:tplc="EB26D3F2">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C83CE9"/>
    <w:multiLevelType w:val="hybridMultilevel"/>
    <w:tmpl w:val="C51A1540"/>
    <w:lvl w:ilvl="0" w:tplc="82D23432">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3162F4"/>
    <w:multiLevelType w:val="hybridMultilevel"/>
    <w:tmpl w:val="E40C3B42"/>
    <w:lvl w:ilvl="0" w:tplc="B4989BCE">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571E6"/>
    <w:multiLevelType w:val="hybridMultilevel"/>
    <w:tmpl w:val="1BB076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1125EBE"/>
    <w:multiLevelType w:val="hybridMultilevel"/>
    <w:tmpl w:val="B93A79EE"/>
    <w:lvl w:ilvl="0" w:tplc="C2AE46C6">
      <w:start w:val="3"/>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13402"/>
    <w:multiLevelType w:val="hybridMultilevel"/>
    <w:tmpl w:val="735AA92A"/>
    <w:lvl w:ilvl="0" w:tplc="3594CAEC">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2524C9"/>
    <w:multiLevelType w:val="hybridMultilevel"/>
    <w:tmpl w:val="3B3E126E"/>
    <w:lvl w:ilvl="0" w:tplc="4F3C3D00">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B198A"/>
    <w:multiLevelType w:val="hybridMultilevel"/>
    <w:tmpl w:val="D6BC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0545B"/>
    <w:multiLevelType w:val="hybridMultilevel"/>
    <w:tmpl w:val="E84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B15B1"/>
    <w:multiLevelType w:val="hybridMultilevel"/>
    <w:tmpl w:val="940C04C4"/>
    <w:lvl w:ilvl="0" w:tplc="C08892EA">
      <w:start w:val="2"/>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7A31AA"/>
    <w:multiLevelType w:val="hybridMultilevel"/>
    <w:tmpl w:val="EC10CE84"/>
    <w:lvl w:ilvl="0" w:tplc="2BACDFBC">
      <w:start w:val="2"/>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12271"/>
    <w:multiLevelType w:val="hybridMultilevel"/>
    <w:tmpl w:val="1D78DE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74C628CC"/>
    <w:multiLevelType w:val="hybridMultilevel"/>
    <w:tmpl w:val="B2CE27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75CD7B74"/>
    <w:multiLevelType w:val="hybridMultilevel"/>
    <w:tmpl w:val="B2701782"/>
    <w:lvl w:ilvl="0" w:tplc="F59E780C">
      <w:start w:val="4"/>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539A5"/>
    <w:multiLevelType w:val="hybridMultilevel"/>
    <w:tmpl w:val="4286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72496"/>
    <w:multiLevelType w:val="hybridMultilevel"/>
    <w:tmpl w:val="56B26DC8"/>
    <w:lvl w:ilvl="0" w:tplc="C4A43D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19"/>
  </w:num>
  <w:num w:numId="4">
    <w:abstractNumId w:val="11"/>
  </w:num>
  <w:num w:numId="5">
    <w:abstractNumId w:val="2"/>
  </w:num>
  <w:num w:numId="6">
    <w:abstractNumId w:val="22"/>
  </w:num>
  <w:num w:numId="7">
    <w:abstractNumId w:val="5"/>
  </w:num>
  <w:num w:numId="8">
    <w:abstractNumId w:val="10"/>
  </w:num>
  <w:num w:numId="9">
    <w:abstractNumId w:val="17"/>
  </w:num>
  <w:num w:numId="10">
    <w:abstractNumId w:val="18"/>
  </w:num>
  <w:num w:numId="11">
    <w:abstractNumId w:val="3"/>
  </w:num>
  <w:num w:numId="12">
    <w:abstractNumId w:val="8"/>
  </w:num>
  <w:num w:numId="13">
    <w:abstractNumId w:val="21"/>
  </w:num>
  <w:num w:numId="14">
    <w:abstractNumId w:val="16"/>
  </w:num>
  <w:num w:numId="15">
    <w:abstractNumId w:val="15"/>
  </w:num>
  <w:num w:numId="16">
    <w:abstractNumId w:val="6"/>
  </w:num>
  <w:num w:numId="17">
    <w:abstractNumId w:val="26"/>
  </w:num>
  <w:num w:numId="18">
    <w:abstractNumId w:val="29"/>
  </w:num>
  <w:num w:numId="19">
    <w:abstractNumId w:val="20"/>
  </w:num>
  <w:num w:numId="20">
    <w:abstractNumId w:val="25"/>
  </w:num>
  <w:num w:numId="21">
    <w:abstractNumId w:val="0"/>
  </w:num>
  <w:num w:numId="22">
    <w:abstractNumId w:val="7"/>
  </w:num>
  <w:num w:numId="23">
    <w:abstractNumId w:val="23"/>
  </w:num>
  <w:num w:numId="24">
    <w:abstractNumId w:val="31"/>
  </w:num>
  <w:num w:numId="25">
    <w:abstractNumId w:val="9"/>
  </w:num>
  <w:num w:numId="26">
    <w:abstractNumId w:val="24"/>
  </w:num>
  <w:num w:numId="27">
    <w:abstractNumId w:val="27"/>
  </w:num>
  <w:num w:numId="28">
    <w:abstractNumId w:val="4"/>
  </w:num>
  <w:num w:numId="29">
    <w:abstractNumId w:val="14"/>
  </w:num>
  <w:num w:numId="30">
    <w:abstractNumId w:val="13"/>
  </w:num>
  <w:num w:numId="31">
    <w:abstractNumId w:val="1"/>
  </w:num>
  <w:num w:numId="32">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87"/>
  <w:drawingGridVerticalSpacing w:val="187"/>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557"/>
    <w:rsid w:val="00000695"/>
    <w:rsid w:val="0000386A"/>
    <w:rsid w:val="00003E11"/>
    <w:rsid w:val="0000675B"/>
    <w:rsid w:val="00010F41"/>
    <w:rsid w:val="000113CB"/>
    <w:rsid w:val="0001182E"/>
    <w:rsid w:val="000119C0"/>
    <w:rsid w:val="00011AD8"/>
    <w:rsid w:val="000215F2"/>
    <w:rsid w:val="00021E6D"/>
    <w:rsid w:val="00024896"/>
    <w:rsid w:val="0002758C"/>
    <w:rsid w:val="0003119B"/>
    <w:rsid w:val="00036E69"/>
    <w:rsid w:val="00040073"/>
    <w:rsid w:val="000449C6"/>
    <w:rsid w:val="000450D1"/>
    <w:rsid w:val="00046422"/>
    <w:rsid w:val="000468AD"/>
    <w:rsid w:val="00047807"/>
    <w:rsid w:val="00052227"/>
    <w:rsid w:val="00052DD2"/>
    <w:rsid w:val="00054B96"/>
    <w:rsid w:val="00056542"/>
    <w:rsid w:val="00062C8A"/>
    <w:rsid w:val="00063664"/>
    <w:rsid w:val="00063F69"/>
    <w:rsid w:val="00065A7B"/>
    <w:rsid w:val="000669B4"/>
    <w:rsid w:val="00070C3B"/>
    <w:rsid w:val="00073289"/>
    <w:rsid w:val="000734A7"/>
    <w:rsid w:val="00074969"/>
    <w:rsid w:val="0009130A"/>
    <w:rsid w:val="00092345"/>
    <w:rsid w:val="000966B1"/>
    <w:rsid w:val="000A2AC5"/>
    <w:rsid w:val="000A3962"/>
    <w:rsid w:val="000A5E74"/>
    <w:rsid w:val="000A6564"/>
    <w:rsid w:val="000B0C1B"/>
    <w:rsid w:val="000B7056"/>
    <w:rsid w:val="000B7D86"/>
    <w:rsid w:val="000D7C5E"/>
    <w:rsid w:val="000E0AC8"/>
    <w:rsid w:val="000E22CC"/>
    <w:rsid w:val="000E58FF"/>
    <w:rsid w:val="000E615C"/>
    <w:rsid w:val="000F5602"/>
    <w:rsid w:val="00100238"/>
    <w:rsid w:val="00120F9E"/>
    <w:rsid w:val="001401D1"/>
    <w:rsid w:val="00141C3E"/>
    <w:rsid w:val="00143F67"/>
    <w:rsid w:val="00146BB6"/>
    <w:rsid w:val="00150BCB"/>
    <w:rsid w:val="001542DF"/>
    <w:rsid w:val="00154B87"/>
    <w:rsid w:val="0015780D"/>
    <w:rsid w:val="00161231"/>
    <w:rsid w:val="00164BDC"/>
    <w:rsid w:val="00166BB9"/>
    <w:rsid w:val="0016731A"/>
    <w:rsid w:val="0017063F"/>
    <w:rsid w:val="0017211C"/>
    <w:rsid w:val="00172505"/>
    <w:rsid w:val="001763B6"/>
    <w:rsid w:val="0018049B"/>
    <w:rsid w:val="00183508"/>
    <w:rsid w:val="00183D90"/>
    <w:rsid w:val="0018424A"/>
    <w:rsid w:val="00184588"/>
    <w:rsid w:val="001847DD"/>
    <w:rsid w:val="0019098C"/>
    <w:rsid w:val="00190F9F"/>
    <w:rsid w:val="001951C3"/>
    <w:rsid w:val="001A1320"/>
    <w:rsid w:val="001A2919"/>
    <w:rsid w:val="001A426B"/>
    <w:rsid w:val="001B40E3"/>
    <w:rsid w:val="001C0E8E"/>
    <w:rsid w:val="001C2EE3"/>
    <w:rsid w:val="001C4B65"/>
    <w:rsid w:val="001C4C13"/>
    <w:rsid w:val="001C4F3D"/>
    <w:rsid w:val="001D05A7"/>
    <w:rsid w:val="001E11A6"/>
    <w:rsid w:val="001E28C8"/>
    <w:rsid w:val="001E4CCB"/>
    <w:rsid w:val="001F0D8C"/>
    <w:rsid w:val="001F2BCF"/>
    <w:rsid w:val="001F577B"/>
    <w:rsid w:val="00204F86"/>
    <w:rsid w:val="00210424"/>
    <w:rsid w:val="00216DCC"/>
    <w:rsid w:val="00217123"/>
    <w:rsid w:val="00221DA0"/>
    <w:rsid w:val="002240C0"/>
    <w:rsid w:val="002271B3"/>
    <w:rsid w:val="00232F26"/>
    <w:rsid w:val="00240498"/>
    <w:rsid w:val="002436F2"/>
    <w:rsid w:val="0024506F"/>
    <w:rsid w:val="00246432"/>
    <w:rsid w:val="0025372B"/>
    <w:rsid w:val="0025659E"/>
    <w:rsid w:val="002610FC"/>
    <w:rsid w:val="00265E52"/>
    <w:rsid w:val="002667D3"/>
    <w:rsid w:val="00266AFF"/>
    <w:rsid w:val="00272619"/>
    <w:rsid w:val="0027787A"/>
    <w:rsid w:val="00277ADF"/>
    <w:rsid w:val="00281DFC"/>
    <w:rsid w:val="00281EB8"/>
    <w:rsid w:val="00286434"/>
    <w:rsid w:val="0028774D"/>
    <w:rsid w:val="00290C05"/>
    <w:rsid w:val="00293441"/>
    <w:rsid w:val="002A13E8"/>
    <w:rsid w:val="002A434E"/>
    <w:rsid w:val="002A4597"/>
    <w:rsid w:val="002B14F4"/>
    <w:rsid w:val="002B5785"/>
    <w:rsid w:val="002C0AE8"/>
    <w:rsid w:val="002C2955"/>
    <w:rsid w:val="002D2CD2"/>
    <w:rsid w:val="002E06DF"/>
    <w:rsid w:val="002F09C9"/>
    <w:rsid w:val="002F22B8"/>
    <w:rsid w:val="002F24C5"/>
    <w:rsid w:val="002F58ED"/>
    <w:rsid w:val="00300020"/>
    <w:rsid w:val="00302416"/>
    <w:rsid w:val="003103F3"/>
    <w:rsid w:val="00312FAE"/>
    <w:rsid w:val="00320888"/>
    <w:rsid w:val="00323B60"/>
    <w:rsid w:val="00324B2B"/>
    <w:rsid w:val="003267D0"/>
    <w:rsid w:val="00342507"/>
    <w:rsid w:val="00346240"/>
    <w:rsid w:val="00347957"/>
    <w:rsid w:val="003512EA"/>
    <w:rsid w:val="00361EA4"/>
    <w:rsid w:val="003628F3"/>
    <w:rsid w:val="00370A1C"/>
    <w:rsid w:val="003730E5"/>
    <w:rsid w:val="0037454A"/>
    <w:rsid w:val="00380D38"/>
    <w:rsid w:val="0038440B"/>
    <w:rsid w:val="00391E14"/>
    <w:rsid w:val="00396E92"/>
    <w:rsid w:val="003A0A07"/>
    <w:rsid w:val="003A2A48"/>
    <w:rsid w:val="003A751C"/>
    <w:rsid w:val="003B2E10"/>
    <w:rsid w:val="003B4CF9"/>
    <w:rsid w:val="003B58D8"/>
    <w:rsid w:val="003B6699"/>
    <w:rsid w:val="003B7D87"/>
    <w:rsid w:val="003C04B1"/>
    <w:rsid w:val="003C1BFC"/>
    <w:rsid w:val="003C5573"/>
    <w:rsid w:val="003D156F"/>
    <w:rsid w:val="003E1FF8"/>
    <w:rsid w:val="003E20D6"/>
    <w:rsid w:val="003E369F"/>
    <w:rsid w:val="003E4964"/>
    <w:rsid w:val="00415352"/>
    <w:rsid w:val="00416228"/>
    <w:rsid w:val="0042032A"/>
    <w:rsid w:val="00424B00"/>
    <w:rsid w:val="00430361"/>
    <w:rsid w:val="00444372"/>
    <w:rsid w:val="00456E02"/>
    <w:rsid w:val="00462B61"/>
    <w:rsid w:val="004657BA"/>
    <w:rsid w:val="0047010D"/>
    <w:rsid w:val="004704DD"/>
    <w:rsid w:val="00473D44"/>
    <w:rsid w:val="00475D2C"/>
    <w:rsid w:val="0047615B"/>
    <w:rsid w:val="0048129A"/>
    <w:rsid w:val="00485713"/>
    <w:rsid w:val="00486245"/>
    <w:rsid w:val="0048669B"/>
    <w:rsid w:val="00486A11"/>
    <w:rsid w:val="00486FE9"/>
    <w:rsid w:val="0049789D"/>
    <w:rsid w:val="004A1676"/>
    <w:rsid w:val="004A203F"/>
    <w:rsid w:val="004A3682"/>
    <w:rsid w:val="004A3F94"/>
    <w:rsid w:val="004A64F4"/>
    <w:rsid w:val="004B12CF"/>
    <w:rsid w:val="004B5543"/>
    <w:rsid w:val="004C08A9"/>
    <w:rsid w:val="004C4F0D"/>
    <w:rsid w:val="004C76B1"/>
    <w:rsid w:val="004D3961"/>
    <w:rsid w:val="004D63FE"/>
    <w:rsid w:val="004E5201"/>
    <w:rsid w:val="004F0687"/>
    <w:rsid w:val="004F0A49"/>
    <w:rsid w:val="004F1700"/>
    <w:rsid w:val="004F5AAB"/>
    <w:rsid w:val="005059FF"/>
    <w:rsid w:val="0051269D"/>
    <w:rsid w:val="00514044"/>
    <w:rsid w:val="00521026"/>
    <w:rsid w:val="00541A05"/>
    <w:rsid w:val="00546DFA"/>
    <w:rsid w:val="00551643"/>
    <w:rsid w:val="00551BE9"/>
    <w:rsid w:val="00552BAC"/>
    <w:rsid w:val="00561CE7"/>
    <w:rsid w:val="005626CE"/>
    <w:rsid w:val="00571A5A"/>
    <w:rsid w:val="00574BD5"/>
    <w:rsid w:val="00581B29"/>
    <w:rsid w:val="00581E51"/>
    <w:rsid w:val="005A0A10"/>
    <w:rsid w:val="005A39D1"/>
    <w:rsid w:val="005A5D02"/>
    <w:rsid w:val="005A774D"/>
    <w:rsid w:val="005B04B6"/>
    <w:rsid w:val="005B1D9B"/>
    <w:rsid w:val="005B3C88"/>
    <w:rsid w:val="005B55B4"/>
    <w:rsid w:val="005B79D2"/>
    <w:rsid w:val="005C2F21"/>
    <w:rsid w:val="005C340F"/>
    <w:rsid w:val="005C5993"/>
    <w:rsid w:val="005C66DE"/>
    <w:rsid w:val="005D1168"/>
    <w:rsid w:val="005D48A6"/>
    <w:rsid w:val="005D4AC7"/>
    <w:rsid w:val="005E23B9"/>
    <w:rsid w:val="005E2A2C"/>
    <w:rsid w:val="005E38D8"/>
    <w:rsid w:val="005E7866"/>
    <w:rsid w:val="005F1621"/>
    <w:rsid w:val="005F549F"/>
    <w:rsid w:val="005F5726"/>
    <w:rsid w:val="006002BA"/>
    <w:rsid w:val="00601E93"/>
    <w:rsid w:val="00603AF3"/>
    <w:rsid w:val="006045BD"/>
    <w:rsid w:val="00613182"/>
    <w:rsid w:val="00613ECB"/>
    <w:rsid w:val="00615AC8"/>
    <w:rsid w:val="006220D9"/>
    <w:rsid w:val="00623C1A"/>
    <w:rsid w:val="0062442F"/>
    <w:rsid w:val="00627630"/>
    <w:rsid w:val="0063112E"/>
    <w:rsid w:val="006337D1"/>
    <w:rsid w:val="00636A6D"/>
    <w:rsid w:val="006422E2"/>
    <w:rsid w:val="00643938"/>
    <w:rsid w:val="00647337"/>
    <w:rsid w:val="00652EBE"/>
    <w:rsid w:val="006626CB"/>
    <w:rsid w:val="00665B15"/>
    <w:rsid w:val="00666D54"/>
    <w:rsid w:val="00670113"/>
    <w:rsid w:val="00674E34"/>
    <w:rsid w:val="006750E7"/>
    <w:rsid w:val="00675A59"/>
    <w:rsid w:val="00680D47"/>
    <w:rsid w:val="00684195"/>
    <w:rsid w:val="006856A5"/>
    <w:rsid w:val="00685C6E"/>
    <w:rsid w:val="00692072"/>
    <w:rsid w:val="006927EE"/>
    <w:rsid w:val="00693253"/>
    <w:rsid w:val="00694957"/>
    <w:rsid w:val="00695B46"/>
    <w:rsid w:val="006976E1"/>
    <w:rsid w:val="00697778"/>
    <w:rsid w:val="006A3A5F"/>
    <w:rsid w:val="006A43F4"/>
    <w:rsid w:val="006A4B44"/>
    <w:rsid w:val="006A4F41"/>
    <w:rsid w:val="006C28A6"/>
    <w:rsid w:val="006D393C"/>
    <w:rsid w:val="006E0069"/>
    <w:rsid w:val="006E2DC1"/>
    <w:rsid w:val="006F3497"/>
    <w:rsid w:val="006F66B5"/>
    <w:rsid w:val="006F686C"/>
    <w:rsid w:val="006F6C26"/>
    <w:rsid w:val="006F7516"/>
    <w:rsid w:val="006F78EE"/>
    <w:rsid w:val="007007E2"/>
    <w:rsid w:val="00705F2A"/>
    <w:rsid w:val="007068B5"/>
    <w:rsid w:val="00707085"/>
    <w:rsid w:val="00707709"/>
    <w:rsid w:val="00711C5D"/>
    <w:rsid w:val="00714E4F"/>
    <w:rsid w:val="007150F2"/>
    <w:rsid w:val="00720859"/>
    <w:rsid w:val="00723D59"/>
    <w:rsid w:val="00726DA1"/>
    <w:rsid w:val="0073014A"/>
    <w:rsid w:val="00730604"/>
    <w:rsid w:val="00731090"/>
    <w:rsid w:val="00731BC9"/>
    <w:rsid w:val="00732B98"/>
    <w:rsid w:val="00735003"/>
    <w:rsid w:val="00736802"/>
    <w:rsid w:val="00743630"/>
    <w:rsid w:val="00745DF4"/>
    <w:rsid w:val="00756E8F"/>
    <w:rsid w:val="00756EF8"/>
    <w:rsid w:val="00763A71"/>
    <w:rsid w:val="007640D6"/>
    <w:rsid w:val="0077131C"/>
    <w:rsid w:val="007738A6"/>
    <w:rsid w:val="00775435"/>
    <w:rsid w:val="00775E07"/>
    <w:rsid w:val="00785D13"/>
    <w:rsid w:val="0079486C"/>
    <w:rsid w:val="00794B0A"/>
    <w:rsid w:val="00794B54"/>
    <w:rsid w:val="00795FA8"/>
    <w:rsid w:val="007A1B03"/>
    <w:rsid w:val="007A27C9"/>
    <w:rsid w:val="007A4176"/>
    <w:rsid w:val="007A43F1"/>
    <w:rsid w:val="007A665D"/>
    <w:rsid w:val="007B22E6"/>
    <w:rsid w:val="007B3DF1"/>
    <w:rsid w:val="007B4FDA"/>
    <w:rsid w:val="007B58F3"/>
    <w:rsid w:val="007C0A76"/>
    <w:rsid w:val="007C1A64"/>
    <w:rsid w:val="007C215D"/>
    <w:rsid w:val="007C5375"/>
    <w:rsid w:val="007D2202"/>
    <w:rsid w:val="007D5969"/>
    <w:rsid w:val="007E17D6"/>
    <w:rsid w:val="007E1D1D"/>
    <w:rsid w:val="007E3381"/>
    <w:rsid w:val="007E3699"/>
    <w:rsid w:val="007E37CA"/>
    <w:rsid w:val="007E59C7"/>
    <w:rsid w:val="007F1726"/>
    <w:rsid w:val="007F52C6"/>
    <w:rsid w:val="007F71D3"/>
    <w:rsid w:val="007F743F"/>
    <w:rsid w:val="00807BA4"/>
    <w:rsid w:val="008100FC"/>
    <w:rsid w:val="00812F41"/>
    <w:rsid w:val="00821DDA"/>
    <w:rsid w:val="00827CA8"/>
    <w:rsid w:val="00831047"/>
    <w:rsid w:val="00835E47"/>
    <w:rsid w:val="0084016F"/>
    <w:rsid w:val="00846670"/>
    <w:rsid w:val="0084741E"/>
    <w:rsid w:val="00852BF2"/>
    <w:rsid w:val="008541A5"/>
    <w:rsid w:val="00856C9A"/>
    <w:rsid w:val="00860B17"/>
    <w:rsid w:val="00860C8B"/>
    <w:rsid w:val="008651C1"/>
    <w:rsid w:val="00872642"/>
    <w:rsid w:val="00872A40"/>
    <w:rsid w:val="00875605"/>
    <w:rsid w:val="0088456E"/>
    <w:rsid w:val="00890F53"/>
    <w:rsid w:val="0089482F"/>
    <w:rsid w:val="008A202D"/>
    <w:rsid w:val="008A3316"/>
    <w:rsid w:val="008A4916"/>
    <w:rsid w:val="008B6809"/>
    <w:rsid w:val="008C2569"/>
    <w:rsid w:val="008C26F3"/>
    <w:rsid w:val="008C3096"/>
    <w:rsid w:val="008D0A62"/>
    <w:rsid w:val="008D28DD"/>
    <w:rsid w:val="008D3EC9"/>
    <w:rsid w:val="008D5D06"/>
    <w:rsid w:val="008D5FE9"/>
    <w:rsid w:val="008E0F72"/>
    <w:rsid w:val="008E5D59"/>
    <w:rsid w:val="008F06CD"/>
    <w:rsid w:val="008F0AC9"/>
    <w:rsid w:val="008F118C"/>
    <w:rsid w:val="008F1AFB"/>
    <w:rsid w:val="008F42AD"/>
    <w:rsid w:val="00910592"/>
    <w:rsid w:val="00911CF1"/>
    <w:rsid w:val="00912071"/>
    <w:rsid w:val="00916BE7"/>
    <w:rsid w:val="00920EDE"/>
    <w:rsid w:val="0092373D"/>
    <w:rsid w:val="009314AE"/>
    <w:rsid w:val="00937E13"/>
    <w:rsid w:val="009420E8"/>
    <w:rsid w:val="00942405"/>
    <w:rsid w:val="0094741F"/>
    <w:rsid w:val="009504F9"/>
    <w:rsid w:val="00950EA8"/>
    <w:rsid w:val="00951361"/>
    <w:rsid w:val="009516AC"/>
    <w:rsid w:val="00953F44"/>
    <w:rsid w:val="00954D83"/>
    <w:rsid w:val="00965D13"/>
    <w:rsid w:val="00966B62"/>
    <w:rsid w:val="00966EC2"/>
    <w:rsid w:val="00967FE1"/>
    <w:rsid w:val="00971E8B"/>
    <w:rsid w:val="0097345C"/>
    <w:rsid w:val="009762DA"/>
    <w:rsid w:val="00984FBD"/>
    <w:rsid w:val="009912E2"/>
    <w:rsid w:val="00992C7B"/>
    <w:rsid w:val="00994939"/>
    <w:rsid w:val="0099571B"/>
    <w:rsid w:val="009A1E7C"/>
    <w:rsid w:val="009A6A7E"/>
    <w:rsid w:val="009C0921"/>
    <w:rsid w:val="009C3F4E"/>
    <w:rsid w:val="009C4EF7"/>
    <w:rsid w:val="009C61F4"/>
    <w:rsid w:val="009C69F5"/>
    <w:rsid w:val="009D08BC"/>
    <w:rsid w:val="009D4F50"/>
    <w:rsid w:val="009E0FDB"/>
    <w:rsid w:val="009F3ADE"/>
    <w:rsid w:val="00A00387"/>
    <w:rsid w:val="00A019F9"/>
    <w:rsid w:val="00A03B33"/>
    <w:rsid w:val="00A05BE5"/>
    <w:rsid w:val="00A10A6D"/>
    <w:rsid w:val="00A2191F"/>
    <w:rsid w:val="00A24BC3"/>
    <w:rsid w:val="00A254F0"/>
    <w:rsid w:val="00A25C3D"/>
    <w:rsid w:val="00A3167B"/>
    <w:rsid w:val="00A33412"/>
    <w:rsid w:val="00A352EA"/>
    <w:rsid w:val="00A359BD"/>
    <w:rsid w:val="00A439B4"/>
    <w:rsid w:val="00A511F8"/>
    <w:rsid w:val="00A5207A"/>
    <w:rsid w:val="00A56942"/>
    <w:rsid w:val="00A60408"/>
    <w:rsid w:val="00A6197D"/>
    <w:rsid w:val="00A65BE1"/>
    <w:rsid w:val="00A65C28"/>
    <w:rsid w:val="00A67B6C"/>
    <w:rsid w:val="00A76385"/>
    <w:rsid w:val="00A778DC"/>
    <w:rsid w:val="00A80E18"/>
    <w:rsid w:val="00A80F75"/>
    <w:rsid w:val="00A85702"/>
    <w:rsid w:val="00A86C1F"/>
    <w:rsid w:val="00A91A52"/>
    <w:rsid w:val="00A95A96"/>
    <w:rsid w:val="00A96EDB"/>
    <w:rsid w:val="00AA0D78"/>
    <w:rsid w:val="00AA5E59"/>
    <w:rsid w:val="00AB3C29"/>
    <w:rsid w:val="00AB457A"/>
    <w:rsid w:val="00AB6F1B"/>
    <w:rsid w:val="00AC05AA"/>
    <w:rsid w:val="00AD2EAC"/>
    <w:rsid w:val="00AD3B2F"/>
    <w:rsid w:val="00AD4DA0"/>
    <w:rsid w:val="00AE5A6F"/>
    <w:rsid w:val="00AE605B"/>
    <w:rsid w:val="00AF1983"/>
    <w:rsid w:val="00B0047A"/>
    <w:rsid w:val="00B0242D"/>
    <w:rsid w:val="00B06B7D"/>
    <w:rsid w:val="00B07668"/>
    <w:rsid w:val="00B16B92"/>
    <w:rsid w:val="00B16E76"/>
    <w:rsid w:val="00B279C1"/>
    <w:rsid w:val="00B316D4"/>
    <w:rsid w:val="00B340EC"/>
    <w:rsid w:val="00B404AD"/>
    <w:rsid w:val="00B40552"/>
    <w:rsid w:val="00B42E35"/>
    <w:rsid w:val="00B44FCD"/>
    <w:rsid w:val="00B462C1"/>
    <w:rsid w:val="00B47106"/>
    <w:rsid w:val="00B47138"/>
    <w:rsid w:val="00B471FF"/>
    <w:rsid w:val="00B52A04"/>
    <w:rsid w:val="00B557D6"/>
    <w:rsid w:val="00B56C7D"/>
    <w:rsid w:val="00B56F35"/>
    <w:rsid w:val="00B60CB6"/>
    <w:rsid w:val="00B61BCD"/>
    <w:rsid w:val="00B61DE4"/>
    <w:rsid w:val="00B62496"/>
    <w:rsid w:val="00B63B7A"/>
    <w:rsid w:val="00B64290"/>
    <w:rsid w:val="00B84202"/>
    <w:rsid w:val="00B879DC"/>
    <w:rsid w:val="00B90AEE"/>
    <w:rsid w:val="00B9168F"/>
    <w:rsid w:val="00B91AF4"/>
    <w:rsid w:val="00B92AFE"/>
    <w:rsid w:val="00BA0091"/>
    <w:rsid w:val="00BA0E65"/>
    <w:rsid w:val="00BA1CF2"/>
    <w:rsid w:val="00BA3600"/>
    <w:rsid w:val="00BA6BE4"/>
    <w:rsid w:val="00BA6D0D"/>
    <w:rsid w:val="00BA7703"/>
    <w:rsid w:val="00BB0775"/>
    <w:rsid w:val="00BB311A"/>
    <w:rsid w:val="00BB5781"/>
    <w:rsid w:val="00BB5CAC"/>
    <w:rsid w:val="00BC1F12"/>
    <w:rsid w:val="00BC516F"/>
    <w:rsid w:val="00BC6B74"/>
    <w:rsid w:val="00BD0BC9"/>
    <w:rsid w:val="00BD1F08"/>
    <w:rsid w:val="00BD25F7"/>
    <w:rsid w:val="00BD4E44"/>
    <w:rsid w:val="00BD5233"/>
    <w:rsid w:val="00BD678E"/>
    <w:rsid w:val="00BD6DA4"/>
    <w:rsid w:val="00BD71A1"/>
    <w:rsid w:val="00BE1BFC"/>
    <w:rsid w:val="00BE227C"/>
    <w:rsid w:val="00BE3BF7"/>
    <w:rsid w:val="00BE538F"/>
    <w:rsid w:val="00BF73BE"/>
    <w:rsid w:val="00BF76F3"/>
    <w:rsid w:val="00C033A1"/>
    <w:rsid w:val="00C054B6"/>
    <w:rsid w:val="00C07C71"/>
    <w:rsid w:val="00C10D86"/>
    <w:rsid w:val="00C14A9F"/>
    <w:rsid w:val="00C152A7"/>
    <w:rsid w:val="00C30626"/>
    <w:rsid w:val="00C35A42"/>
    <w:rsid w:val="00C424E8"/>
    <w:rsid w:val="00C46E2E"/>
    <w:rsid w:val="00C478EE"/>
    <w:rsid w:val="00C563EB"/>
    <w:rsid w:val="00C71B16"/>
    <w:rsid w:val="00C816A2"/>
    <w:rsid w:val="00C856C4"/>
    <w:rsid w:val="00C86AA2"/>
    <w:rsid w:val="00C87135"/>
    <w:rsid w:val="00C901DF"/>
    <w:rsid w:val="00C932A7"/>
    <w:rsid w:val="00C978EC"/>
    <w:rsid w:val="00CA53E3"/>
    <w:rsid w:val="00CA6181"/>
    <w:rsid w:val="00CA78E6"/>
    <w:rsid w:val="00CB1752"/>
    <w:rsid w:val="00CB4DDD"/>
    <w:rsid w:val="00CB58D8"/>
    <w:rsid w:val="00CC25CC"/>
    <w:rsid w:val="00CC4374"/>
    <w:rsid w:val="00CD3321"/>
    <w:rsid w:val="00CD4ABA"/>
    <w:rsid w:val="00CD7DC9"/>
    <w:rsid w:val="00CE00C7"/>
    <w:rsid w:val="00CE0A81"/>
    <w:rsid w:val="00CE3C22"/>
    <w:rsid w:val="00CF3448"/>
    <w:rsid w:val="00CF4C5A"/>
    <w:rsid w:val="00D01CF7"/>
    <w:rsid w:val="00D031FE"/>
    <w:rsid w:val="00D0772B"/>
    <w:rsid w:val="00D10DFC"/>
    <w:rsid w:val="00D11A2F"/>
    <w:rsid w:val="00D13067"/>
    <w:rsid w:val="00D1368D"/>
    <w:rsid w:val="00D17CAB"/>
    <w:rsid w:val="00D20080"/>
    <w:rsid w:val="00D22BC3"/>
    <w:rsid w:val="00D22D44"/>
    <w:rsid w:val="00D26E7D"/>
    <w:rsid w:val="00D26ED0"/>
    <w:rsid w:val="00D31B48"/>
    <w:rsid w:val="00D32471"/>
    <w:rsid w:val="00D34B4E"/>
    <w:rsid w:val="00D36B29"/>
    <w:rsid w:val="00D4009C"/>
    <w:rsid w:val="00D41DA5"/>
    <w:rsid w:val="00D44B47"/>
    <w:rsid w:val="00D472B5"/>
    <w:rsid w:val="00D52FC5"/>
    <w:rsid w:val="00D54D67"/>
    <w:rsid w:val="00D6403E"/>
    <w:rsid w:val="00D65087"/>
    <w:rsid w:val="00D65F74"/>
    <w:rsid w:val="00D678E9"/>
    <w:rsid w:val="00D67959"/>
    <w:rsid w:val="00D7070C"/>
    <w:rsid w:val="00D7348B"/>
    <w:rsid w:val="00D7523D"/>
    <w:rsid w:val="00D7575D"/>
    <w:rsid w:val="00D75A56"/>
    <w:rsid w:val="00D7786F"/>
    <w:rsid w:val="00D837BA"/>
    <w:rsid w:val="00D84E69"/>
    <w:rsid w:val="00D8791C"/>
    <w:rsid w:val="00D912AE"/>
    <w:rsid w:val="00D9550E"/>
    <w:rsid w:val="00DA528F"/>
    <w:rsid w:val="00DA769E"/>
    <w:rsid w:val="00DB0401"/>
    <w:rsid w:val="00DC2916"/>
    <w:rsid w:val="00DC6B12"/>
    <w:rsid w:val="00DC7798"/>
    <w:rsid w:val="00DD0342"/>
    <w:rsid w:val="00DD67A3"/>
    <w:rsid w:val="00DE0F02"/>
    <w:rsid w:val="00DE0F6A"/>
    <w:rsid w:val="00DF194C"/>
    <w:rsid w:val="00DF73D5"/>
    <w:rsid w:val="00DF7B4C"/>
    <w:rsid w:val="00E11BAF"/>
    <w:rsid w:val="00E1374D"/>
    <w:rsid w:val="00E138F9"/>
    <w:rsid w:val="00E13F58"/>
    <w:rsid w:val="00E34995"/>
    <w:rsid w:val="00E410A8"/>
    <w:rsid w:val="00E426CF"/>
    <w:rsid w:val="00E45399"/>
    <w:rsid w:val="00E4589A"/>
    <w:rsid w:val="00E467DF"/>
    <w:rsid w:val="00E52672"/>
    <w:rsid w:val="00E56E77"/>
    <w:rsid w:val="00E60952"/>
    <w:rsid w:val="00E60C63"/>
    <w:rsid w:val="00E656D6"/>
    <w:rsid w:val="00E66230"/>
    <w:rsid w:val="00E669DD"/>
    <w:rsid w:val="00E671F0"/>
    <w:rsid w:val="00E711D5"/>
    <w:rsid w:val="00E7156D"/>
    <w:rsid w:val="00E75938"/>
    <w:rsid w:val="00E840DA"/>
    <w:rsid w:val="00E86060"/>
    <w:rsid w:val="00E93A89"/>
    <w:rsid w:val="00E95E5A"/>
    <w:rsid w:val="00E96CB9"/>
    <w:rsid w:val="00EA5C73"/>
    <w:rsid w:val="00EC0DE3"/>
    <w:rsid w:val="00EC16AB"/>
    <w:rsid w:val="00EC1AFB"/>
    <w:rsid w:val="00EC2C6A"/>
    <w:rsid w:val="00EC548D"/>
    <w:rsid w:val="00ED01D7"/>
    <w:rsid w:val="00ED1490"/>
    <w:rsid w:val="00ED1ADA"/>
    <w:rsid w:val="00ED2127"/>
    <w:rsid w:val="00ED38E7"/>
    <w:rsid w:val="00ED3E93"/>
    <w:rsid w:val="00EE0833"/>
    <w:rsid w:val="00EE235F"/>
    <w:rsid w:val="00EF4984"/>
    <w:rsid w:val="00EF5759"/>
    <w:rsid w:val="00EF6B5B"/>
    <w:rsid w:val="00F06E3D"/>
    <w:rsid w:val="00F22D0E"/>
    <w:rsid w:val="00F330BA"/>
    <w:rsid w:val="00F3765B"/>
    <w:rsid w:val="00F376C0"/>
    <w:rsid w:val="00F40557"/>
    <w:rsid w:val="00F47757"/>
    <w:rsid w:val="00F57165"/>
    <w:rsid w:val="00F651B0"/>
    <w:rsid w:val="00F71B2F"/>
    <w:rsid w:val="00F737D4"/>
    <w:rsid w:val="00F8617C"/>
    <w:rsid w:val="00F8725F"/>
    <w:rsid w:val="00FA5891"/>
    <w:rsid w:val="00FB0263"/>
    <w:rsid w:val="00FB231D"/>
    <w:rsid w:val="00FD3CFA"/>
    <w:rsid w:val="00FE2541"/>
    <w:rsid w:val="00FE3FC2"/>
    <w:rsid w:val="00FE7F8B"/>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6BFC826"/>
  <w15:docId w15:val="{FEBABED0-C836-4D1D-83A9-EC486666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919"/>
    <w:pPr>
      <w:jc w:val="both"/>
    </w:pPr>
    <w:rPr>
      <w:iCs/>
      <w:sz w:val="20"/>
      <w:szCs w:val="20"/>
    </w:rPr>
  </w:style>
  <w:style w:type="paragraph" w:styleId="Heading1">
    <w:name w:val="heading 1"/>
    <w:basedOn w:val="Normal"/>
    <w:next w:val="Normal"/>
    <w:link w:val="Heading1Char"/>
    <w:uiPriority w:val="9"/>
    <w:qFormat/>
    <w:rsid w:val="00E56E77"/>
    <w:pPr>
      <w:pBdr>
        <w:top w:val="single" w:sz="8" w:space="0" w:color="B0CCB0" w:themeColor="accent2"/>
        <w:left w:val="single" w:sz="8" w:space="0" w:color="B0CCB0" w:themeColor="accent2"/>
        <w:bottom w:val="single" w:sz="8" w:space="0" w:color="B0CCB0" w:themeColor="accent2"/>
        <w:right w:val="single" w:sz="8" w:space="0" w:color="B0CCB0" w:themeColor="accent2"/>
      </w:pBdr>
      <w:shd w:val="clear" w:color="auto" w:fill="EFF4EF" w:themeFill="accent2" w:themeFillTint="33"/>
      <w:spacing w:before="480" w:after="100" w:line="269" w:lineRule="auto"/>
      <w:contextualSpacing/>
      <w:outlineLvl w:val="0"/>
    </w:pPr>
    <w:rPr>
      <w:rFonts w:asciiTheme="majorHAnsi" w:eastAsiaTheme="majorEastAsia" w:hAnsiTheme="majorHAnsi" w:cstheme="majorBidi"/>
      <w:b/>
      <w:bCs/>
      <w:color w:val="4A724A" w:themeColor="accent2" w:themeShade="7F"/>
      <w:sz w:val="22"/>
      <w:szCs w:val="22"/>
    </w:rPr>
  </w:style>
  <w:style w:type="paragraph" w:styleId="Heading2">
    <w:name w:val="heading 2"/>
    <w:basedOn w:val="Heading2A"/>
    <w:next w:val="Normal"/>
    <w:link w:val="Heading2Char"/>
    <w:uiPriority w:val="9"/>
    <w:unhideWhenUsed/>
    <w:qFormat/>
    <w:rsid w:val="0099571B"/>
    <w:pPr>
      <w:outlineLvl w:val="1"/>
    </w:pPr>
  </w:style>
  <w:style w:type="paragraph" w:styleId="Heading3">
    <w:name w:val="heading 3"/>
    <w:basedOn w:val="Normal"/>
    <w:next w:val="Normal"/>
    <w:link w:val="Heading3Char"/>
    <w:uiPriority w:val="9"/>
    <w:unhideWhenUsed/>
    <w:qFormat/>
    <w:rsid w:val="00E56E77"/>
    <w:pPr>
      <w:pBdr>
        <w:left w:val="single" w:sz="48" w:space="2" w:color="B0CCB0" w:themeColor="accent2"/>
        <w:bottom w:val="single" w:sz="4" w:space="0" w:color="B0CCB0" w:themeColor="accent2"/>
      </w:pBdr>
      <w:spacing w:before="200" w:after="100" w:line="240" w:lineRule="auto"/>
      <w:ind w:left="144"/>
      <w:contextualSpacing/>
      <w:outlineLvl w:val="2"/>
    </w:pPr>
    <w:rPr>
      <w:rFonts w:asciiTheme="majorHAnsi" w:eastAsiaTheme="majorEastAsia" w:hAnsiTheme="majorHAnsi" w:cstheme="majorBidi"/>
      <w:b/>
      <w:bCs/>
      <w:color w:val="75A675" w:themeColor="accent2" w:themeShade="BF"/>
      <w:sz w:val="22"/>
      <w:szCs w:val="22"/>
    </w:rPr>
  </w:style>
  <w:style w:type="paragraph" w:styleId="Heading4">
    <w:name w:val="heading 4"/>
    <w:basedOn w:val="Normal"/>
    <w:next w:val="Normal"/>
    <w:link w:val="Heading4Char"/>
    <w:uiPriority w:val="9"/>
    <w:unhideWhenUsed/>
    <w:qFormat/>
    <w:rsid w:val="00E56E77"/>
    <w:pPr>
      <w:pBdr>
        <w:left w:val="single" w:sz="4" w:space="2" w:color="B0CCB0" w:themeColor="accent2"/>
        <w:bottom w:val="single" w:sz="4" w:space="2" w:color="B0CCB0" w:themeColor="accent2"/>
      </w:pBdr>
      <w:spacing w:before="200" w:after="100" w:line="240" w:lineRule="auto"/>
      <w:ind w:left="86"/>
      <w:contextualSpacing/>
      <w:outlineLvl w:val="3"/>
    </w:pPr>
    <w:rPr>
      <w:rFonts w:asciiTheme="majorHAnsi" w:eastAsiaTheme="majorEastAsia" w:hAnsiTheme="majorHAnsi" w:cstheme="majorBidi"/>
      <w:b/>
      <w:bCs/>
      <w:color w:val="75A675" w:themeColor="accent2" w:themeShade="BF"/>
      <w:sz w:val="22"/>
      <w:szCs w:val="22"/>
    </w:rPr>
  </w:style>
  <w:style w:type="paragraph" w:styleId="Heading5">
    <w:name w:val="heading 5"/>
    <w:basedOn w:val="Normal"/>
    <w:next w:val="Normal"/>
    <w:link w:val="Heading5Char"/>
    <w:uiPriority w:val="9"/>
    <w:semiHidden/>
    <w:unhideWhenUsed/>
    <w:qFormat/>
    <w:rsid w:val="00E56E77"/>
    <w:pPr>
      <w:pBdr>
        <w:left w:val="dotted" w:sz="4" w:space="2" w:color="B0CCB0" w:themeColor="accent2"/>
        <w:bottom w:val="dotted" w:sz="4" w:space="2" w:color="B0CCB0" w:themeColor="accent2"/>
      </w:pBdr>
      <w:spacing w:before="200" w:after="100" w:line="240" w:lineRule="auto"/>
      <w:ind w:left="86"/>
      <w:contextualSpacing/>
      <w:outlineLvl w:val="4"/>
    </w:pPr>
    <w:rPr>
      <w:rFonts w:asciiTheme="majorHAnsi" w:eastAsiaTheme="majorEastAsia" w:hAnsiTheme="majorHAnsi" w:cstheme="majorBidi"/>
      <w:b/>
      <w:bCs/>
      <w:color w:val="75A675" w:themeColor="accent2" w:themeShade="BF"/>
      <w:sz w:val="22"/>
      <w:szCs w:val="22"/>
    </w:rPr>
  </w:style>
  <w:style w:type="paragraph" w:styleId="Heading6">
    <w:name w:val="heading 6"/>
    <w:basedOn w:val="Normal"/>
    <w:next w:val="Normal"/>
    <w:link w:val="Heading6Char"/>
    <w:uiPriority w:val="9"/>
    <w:semiHidden/>
    <w:unhideWhenUsed/>
    <w:qFormat/>
    <w:rsid w:val="00E56E77"/>
    <w:pPr>
      <w:pBdr>
        <w:bottom w:val="single" w:sz="4" w:space="2" w:color="DFEADF" w:themeColor="accent2" w:themeTint="66"/>
      </w:pBdr>
      <w:spacing w:before="200" w:after="100" w:line="240" w:lineRule="auto"/>
      <w:contextualSpacing/>
      <w:outlineLvl w:val="5"/>
    </w:pPr>
    <w:rPr>
      <w:rFonts w:asciiTheme="majorHAnsi" w:eastAsiaTheme="majorEastAsia" w:hAnsiTheme="majorHAnsi" w:cstheme="majorBidi"/>
      <w:color w:val="75A675" w:themeColor="accent2" w:themeShade="BF"/>
      <w:sz w:val="22"/>
      <w:szCs w:val="22"/>
    </w:rPr>
  </w:style>
  <w:style w:type="paragraph" w:styleId="Heading7">
    <w:name w:val="heading 7"/>
    <w:basedOn w:val="Normal"/>
    <w:next w:val="Normal"/>
    <w:link w:val="Heading7Char"/>
    <w:uiPriority w:val="9"/>
    <w:semiHidden/>
    <w:unhideWhenUsed/>
    <w:qFormat/>
    <w:rsid w:val="00E56E77"/>
    <w:pPr>
      <w:pBdr>
        <w:bottom w:val="dotted" w:sz="4" w:space="2" w:color="CFE0CF" w:themeColor="accent2" w:themeTint="99"/>
      </w:pBdr>
      <w:spacing w:before="200" w:after="100" w:line="240" w:lineRule="auto"/>
      <w:contextualSpacing/>
      <w:outlineLvl w:val="6"/>
    </w:pPr>
    <w:rPr>
      <w:rFonts w:asciiTheme="majorHAnsi" w:eastAsiaTheme="majorEastAsia" w:hAnsiTheme="majorHAnsi" w:cstheme="majorBidi"/>
      <w:color w:val="75A675" w:themeColor="accent2" w:themeShade="BF"/>
      <w:sz w:val="22"/>
      <w:szCs w:val="22"/>
    </w:rPr>
  </w:style>
  <w:style w:type="paragraph" w:styleId="Heading8">
    <w:name w:val="heading 8"/>
    <w:basedOn w:val="Normal"/>
    <w:next w:val="Normal"/>
    <w:link w:val="Heading8Char"/>
    <w:uiPriority w:val="9"/>
    <w:semiHidden/>
    <w:unhideWhenUsed/>
    <w:qFormat/>
    <w:rsid w:val="00E56E77"/>
    <w:pPr>
      <w:spacing w:before="200" w:after="100" w:line="240" w:lineRule="auto"/>
      <w:contextualSpacing/>
      <w:outlineLvl w:val="7"/>
    </w:pPr>
    <w:rPr>
      <w:rFonts w:asciiTheme="majorHAnsi" w:eastAsiaTheme="majorEastAsia" w:hAnsiTheme="majorHAnsi" w:cstheme="majorBidi"/>
      <w:color w:val="B0CCB0" w:themeColor="accent2"/>
      <w:sz w:val="22"/>
      <w:szCs w:val="22"/>
    </w:rPr>
  </w:style>
  <w:style w:type="paragraph" w:styleId="Heading9">
    <w:name w:val="heading 9"/>
    <w:basedOn w:val="Normal"/>
    <w:next w:val="Normal"/>
    <w:link w:val="Heading9Char"/>
    <w:uiPriority w:val="9"/>
    <w:semiHidden/>
    <w:unhideWhenUsed/>
    <w:qFormat/>
    <w:rsid w:val="00E56E77"/>
    <w:pPr>
      <w:spacing w:before="200" w:after="100" w:line="240" w:lineRule="auto"/>
      <w:contextualSpacing/>
      <w:outlineLvl w:val="8"/>
    </w:pPr>
    <w:rPr>
      <w:rFonts w:asciiTheme="majorHAnsi" w:eastAsiaTheme="majorEastAsia" w:hAnsiTheme="majorHAnsi" w:cstheme="majorBidi"/>
      <w:color w:val="B0CCB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rsid w:val="0003119B"/>
    <w:pPr>
      <w:tabs>
        <w:tab w:val="center" w:pos="4320"/>
        <w:tab w:val="right" w:pos="8640"/>
      </w:tabs>
    </w:pPr>
  </w:style>
  <w:style w:type="paragraph" w:styleId="Footer">
    <w:name w:val="footer"/>
    <w:basedOn w:val="Normal"/>
    <w:link w:val="FooterChar"/>
    <w:uiPriority w:val="99"/>
    <w:rsid w:val="0003119B"/>
    <w:pPr>
      <w:tabs>
        <w:tab w:val="center" w:pos="4320"/>
        <w:tab w:val="right" w:pos="8640"/>
      </w:tabs>
    </w:pPr>
  </w:style>
  <w:style w:type="paragraph" w:customStyle="1" w:styleId="Header2">
    <w:name w:val="Header 2"/>
    <w:basedOn w:val="Header"/>
    <w:rsid w:val="0003119B"/>
    <w:pPr>
      <w:pBdr>
        <w:bottom w:val="single" w:sz="4" w:space="1" w:color="auto"/>
      </w:pBdr>
      <w:spacing w:after="240"/>
      <w:jc w:val="center"/>
    </w:pPr>
    <w:rPr>
      <w:rFonts w:ascii="CG Omega" w:hAnsi="CG Omega"/>
      <w:b/>
      <w:smallCaps/>
    </w:rPr>
  </w:style>
  <w:style w:type="character" w:styleId="PageNumber">
    <w:name w:val="page number"/>
    <w:basedOn w:val="DefaultParagraphFont"/>
    <w:rsid w:val="0003119B"/>
  </w:style>
  <w:style w:type="table" w:styleId="TableGrid">
    <w:name w:val="Table Grid"/>
    <w:basedOn w:val="TableNormal"/>
    <w:uiPriority w:val="99"/>
    <w:rsid w:val="0003119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BD25F7"/>
    <w:pPr>
      <w:ind w:left="720" w:hanging="720"/>
    </w:pPr>
    <w:rPr>
      <w:rFonts w:ascii="Arial" w:hAnsi="Arial"/>
    </w:rPr>
  </w:style>
  <w:style w:type="paragraph" w:styleId="BalloonText">
    <w:name w:val="Balloon Text"/>
    <w:basedOn w:val="Normal"/>
    <w:semiHidden/>
    <w:rsid w:val="00172505"/>
    <w:rPr>
      <w:rFonts w:ascii="Tahoma" w:hAnsi="Tahoma" w:cs="Tahoma"/>
      <w:sz w:val="16"/>
      <w:szCs w:val="16"/>
    </w:rPr>
  </w:style>
  <w:style w:type="character" w:customStyle="1" w:styleId="Heading3Char">
    <w:name w:val="Heading 3 Char"/>
    <w:basedOn w:val="DefaultParagraphFont"/>
    <w:link w:val="Heading3"/>
    <w:uiPriority w:val="9"/>
    <w:rsid w:val="00E56E77"/>
    <w:rPr>
      <w:rFonts w:asciiTheme="majorHAnsi" w:eastAsiaTheme="majorEastAsia" w:hAnsiTheme="majorHAnsi" w:cstheme="majorBidi"/>
      <w:b/>
      <w:bCs/>
      <w:i/>
      <w:iCs/>
      <w:color w:val="75A675" w:themeColor="accent2" w:themeShade="BF"/>
    </w:rPr>
  </w:style>
  <w:style w:type="character" w:customStyle="1" w:styleId="Heading4Char">
    <w:name w:val="Heading 4 Char"/>
    <w:basedOn w:val="DefaultParagraphFont"/>
    <w:link w:val="Heading4"/>
    <w:uiPriority w:val="9"/>
    <w:rsid w:val="00E56E77"/>
    <w:rPr>
      <w:rFonts w:asciiTheme="majorHAnsi" w:eastAsiaTheme="majorEastAsia" w:hAnsiTheme="majorHAnsi" w:cstheme="majorBidi"/>
      <w:b/>
      <w:bCs/>
      <w:i/>
      <w:iCs/>
      <w:color w:val="75A675" w:themeColor="accent2" w:themeShade="BF"/>
    </w:rPr>
  </w:style>
  <w:style w:type="paragraph" w:styleId="FootnoteText">
    <w:name w:val="footnote text"/>
    <w:aliases w:val="Footnote,Footnote Text Char Char Char Char Char Char Char,Footnote Text Char Char Char Char,Footnote Text Char Char Char Char Char,Footnote Text Char Char Char Char Char Char Char Char Char C,Footnote Text Char Char Char"/>
    <w:basedOn w:val="Normal"/>
    <w:link w:val="FootnoteTextChar"/>
    <w:qFormat/>
    <w:rsid w:val="00ED1490"/>
    <w:rPr>
      <w:rFonts w:ascii="Arial" w:hAnsi="Arial"/>
    </w:rPr>
  </w:style>
  <w:style w:type="character" w:customStyle="1" w:styleId="FootnoteTextChar">
    <w:name w:val="Footnote Text Char"/>
    <w:aliases w:val="Footnote Char,Footnote Text Char Char Char Char Char Char Char Char,Footnote Text Char Char Char Char Char1,Footnote Text Char Char Char Char Char Char,Footnote Text Char Char Char Char Char Char Char Char Char C Char"/>
    <w:basedOn w:val="DefaultParagraphFont"/>
    <w:link w:val="FootnoteText"/>
    <w:rsid w:val="00ED1490"/>
    <w:rPr>
      <w:rFonts w:ascii="Arial" w:hAnsi="Arial"/>
    </w:rPr>
  </w:style>
  <w:style w:type="character" w:styleId="FootnoteReference">
    <w:name w:val="footnote reference"/>
    <w:basedOn w:val="DefaultParagraphFont"/>
    <w:rsid w:val="00ED1490"/>
    <w:rPr>
      <w:vertAlign w:val="superscript"/>
    </w:rPr>
  </w:style>
  <w:style w:type="paragraph" w:customStyle="1" w:styleId="Heading2A">
    <w:name w:val="Heading 2A"/>
    <w:basedOn w:val="Normal"/>
    <w:link w:val="Heading2AChar"/>
    <w:qFormat/>
    <w:rsid w:val="00E56E77"/>
    <w:pPr>
      <w:keepNext/>
      <w:spacing w:before="480" w:after="240"/>
      <w:outlineLvl w:val="0"/>
    </w:pPr>
    <w:rPr>
      <w:rFonts w:ascii="Arial" w:hAnsi="Arial" w:cs="Arial"/>
      <w:b/>
      <w:bCs/>
      <w:i/>
      <w:iCs w:val="0"/>
      <w:caps/>
      <w:spacing w:val="40"/>
      <w:kern w:val="32"/>
      <w:sz w:val="24"/>
      <w:szCs w:val="24"/>
    </w:rPr>
  </w:style>
  <w:style w:type="character" w:customStyle="1" w:styleId="Heading2AChar">
    <w:name w:val="Heading 2A Char"/>
    <w:basedOn w:val="DefaultParagraphFont"/>
    <w:link w:val="Heading2A"/>
    <w:rsid w:val="00E56E77"/>
    <w:rPr>
      <w:rFonts w:ascii="Arial" w:hAnsi="Arial" w:cs="Arial"/>
      <w:b/>
      <w:bCs/>
      <w:caps/>
      <w:spacing w:val="40"/>
      <w:kern w:val="32"/>
      <w:sz w:val="24"/>
      <w:szCs w:val="24"/>
    </w:rPr>
  </w:style>
  <w:style w:type="character" w:customStyle="1" w:styleId="Heading2Char">
    <w:name w:val="Heading 2 Char"/>
    <w:basedOn w:val="DefaultParagraphFont"/>
    <w:link w:val="Heading2"/>
    <w:uiPriority w:val="9"/>
    <w:rsid w:val="0099571B"/>
    <w:rPr>
      <w:rFonts w:ascii="Arial" w:hAnsi="Arial" w:cs="Arial"/>
      <w:b/>
      <w:bCs/>
      <w:caps/>
      <w:spacing w:val="40"/>
      <w:kern w:val="32"/>
      <w:sz w:val="24"/>
      <w:szCs w:val="24"/>
    </w:rPr>
  </w:style>
  <w:style w:type="paragraph" w:styleId="PlainText">
    <w:name w:val="Plain Text"/>
    <w:basedOn w:val="Normal"/>
    <w:link w:val="PlainTextChar"/>
    <w:rsid w:val="005B55B4"/>
    <w:rPr>
      <w:rFonts w:ascii="Courier New" w:hAnsi="Courier New"/>
    </w:rPr>
  </w:style>
  <w:style w:type="character" w:customStyle="1" w:styleId="PlainTextChar">
    <w:name w:val="Plain Text Char"/>
    <w:basedOn w:val="DefaultParagraphFont"/>
    <w:link w:val="PlainText"/>
    <w:rsid w:val="005B55B4"/>
    <w:rPr>
      <w:rFonts w:ascii="Courier New" w:hAnsi="Courier New"/>
    </w:rPr>
  </w:style>
  <w:style w:type="character" w:customStyle="1" w:styleId="Heading1Char">
    <w:name w:val="Heading 1 Char"/>
    <w:basedOn w:val="DefaultParagraphFont"/>
    <w:link w:val="Heading1"/>
    <w:uiPriority w:val="9"/>
    <w:rsid w:val="00E56E77"/>
    <w:rPr>
      <w:rFonts w:asciiTheme="majorHAnsi" w:eastAsiaTheme="majorEastAsia" w:hAnsiTheme="majorHAnsi" w:cstheme="majorBidi"/>
      <w:b/>
      <w:bCs/>
      <w:i/>
      <w:iCs/>
      <w:color w:val="4A724A" w:themeColor="accent2" w:themeShade="7F"/>
      <w:shd w:val="clear" w:color="auto" w:fill="EFF4EF" w:themeFill="accent2" w:themeFillTint="33"/>
    </w:rPr>
  </w:style>
  <w:style w:type="character" w:styleId="CommentReference">
    <w:name w:val="annotation reference"/>
    <w:basedOn w:val="DefaultParagraphFont"/>
    <w:rsid w:val="00B64290"/>
    <w:rPr>
      <w:sz w:val="16"/>
      <w:szCs w:val="16"/>
    </w:rPr>
  </w:style>
  <w:style w:type="paragraph" w:styleId="CommentText">
    <w:name w:val="annotation text"/>
    <w:basedOn w:val="Normal"/>
    <w:link w:val="CommentTextChar"/>
    <w:rsid w:val="00B64290"/>
  </w:style>
  <w:style w:type="character" w:customStyle="1" w:styleId="CommentTextChar">
    <w:name w:val="Comment Text Char"/>
    <w:basedOn w:val="DefaultParagraphFont"/>
    <w:link w:val="CommentText"/>
    <w:rsid w:val="00B64290"/>
  </w:style>
  <w:style w:type="paragraph" w:styleId="CommentSubject">
    <w:name w:val="annotation subject"/>
    <w:basedOn w:val="CommentText"/>
    <w:next w:val="CommentText"/>
    <w:link w:val="CommentSubjectChar"/>
    <w:rsid w:val="00B64290"/>
    <w:rPr>
      <w:b/>
      <w:bCs/>
    </w:rPr>
  </w:style>
  <w:style w:type="character" w:customStyle="1" w:styleId="CommentSubjectChar">
    <w:name w:val="Comment Subject Char"/>
    <w:basedOn w:val="CommentTextChar"/>
    <w:link w:val="CommentSubject"/>
    <w:rsid w:val="00B64290"/>
    <w:rPr>
      <w:b/>
      <w:bCs/>
    </w:rPr>
  </w:style>
  <w:style w:type="paragraph" w:styleId="ListParagraph">
    <w:name w:val="List Paragraph"/>
    <w:basedOn w:val="Normal"/>
    <w:uiPriority w:val="34"/>
    <w:qFormat/>
    <w:rsid w:val="00E56E77"/>
    <w:pPr>
      <w:ind w:left="720"/>
      <w:contextualSpacing/>
    </w:pPr>
  </w:style>
  <w:style w:type="character" w:styleId="Hyperlink">
    <w:name w:val="Hyperlink"/>
    <w:basedOn w:val="DefaultParagraphFont"/>
    <w:uiPriority w:val="99"/>
    <w:rsid w:val="00E95E5A"/>
    <w:rPr>
      <w:color w:val="DB5353" w:themeColor="hyperlink"/>
      <w:u w:val="single"/>
    </w:rPr>
  </w:style>
  <w:style w:type="character" w:styleId="FollowedHyperlink">
    <w:name w:val="FollowedHyperlink"/>
    <w:basedOn w:val="DefaultParagraphFont"/>
    <w:rsid w:val="00675A59"/>
    <w:rPr>
      <w:color w:val="903638" w:themeColor="followedHyperlink"/>
      <w:u w:val="single"/>
    </w:rPr>
  </w:style>
  <w:style w:type="paragraph" w:styleId="NoSpacing">
    <w:name w:val="No Spacing"/>
    <w:basedOn w:val="Normal"/>
    <w:link w:val="NoSpacingChar"/>
    <w:uiPriority w:val="1"/>
    <w:qFormat/>
    <w:rsid w:val="00E56E77"/>
    <w:pPr>
      <w:spacing w:after="0" w:line="240" w:lineRule="auto"/>
    </w:pPr>
  </w:style>
  <w:style w:type="paragraph" w:styleId="Subtitle">
    <w:name w:val="Subtitle"/>
    <w:basedOn w:val="Normal"/>
    <w:next w:val="Normal"/>
    <w:link w:val="SubtitleChar"/>
    <w:uiPriority w:val="11"/>
    <w:qFormat/>
    <w:rsid w:val="00E56E77"/>
    <w:pPr>
      <w:pBdr>
        <w:bottom w:val="dotted" w:sz="8" w:space="10" w:color="B0CCB0" w:themeColor="accent2"/>
      </w:pBdr>
      <w:spacing w:before="200" w:after="900" w:line="240" w:lineRule="auto"/>
      <w:jc w:val="center"/>
    </w:pPr>
    <w:rPr>
      <w:rFonts w:asciiTheme="majorHAnsi" w:eastAsiaTheme="majorEastAsia" w:hAnsiTheme="majorHAnsi" w:cstheme="majorBidi"/>
      <w:color w:val="4A724A" w:themeColor="accent2" w:themeShade="7F"/>
      <w:sz w:val="24"/>
      <w:szCs w:val="24"/>
    </w:rPr>
  </w:style>
  <w:style w:type="character" w:customStyle="1" w:styleId="SubtitleChar">
    <w:name w:val="Subtitle Char"/>
    <w:basedOn w:val="DefaultParagraphFont"/>
    <w:link w:val="Subtitle"/>
    <w:uiPriority w:val="11"/>
    <w:rsid w:val="00E56E77"/>
    <w:rPr>
      <w:rFonts w:asciiTheme="majorHAnsi" w:eastAsiaTheme="majorEastAsia" w:hAnsiTheme="majorHAnsi" w:cstheme="majorBidi"/>
      <w:i/>
      <w:iCs/>
      <w:color w:val="4A724A" w:themeColor="accent2" w:themeShade="7F"/>
      <w:sz w:val="24"/>
      <w:szCs w:val="24"/>
    </w:rPr>
  </w:style>
  <w:style w:type="character" w:customStyle="1" w:styleId="Heading5Char">
    <w:name w:val="Heading 5 Char"/>
    <w:basedOn w:val="DefaultParagraphFont"/>
    <w:link w:val="Heading5"/>
    <w:uiPriority w:val="9"/>
    <w:semiHidden/>
    <w:rsid w:val="00E56E77"/>
    <w:rPr>
      <w:rFonts w:asciiTheme="majorHAnsi" w:eastAsiaTheme="majorEastAsia" w:hAnsiTheme="majorHAnsi" w:cstheme="majorBidi"/>
      <w:b/>
      <w:bCs/>
      <w:i/>
      <w:iCs/>
      <w:color w:val="75A675" w:themeColor="accent2" w:themeShade="BF"/>
    </w:rPr>
  </w:style>
  <w:style w:type="character" w:customStyle="1" w:styleId="Heading6Char">
    <w:name w:val="Heading 6 Char"/>
    <w:basedOn w:val="DefaultParagraphFont"/>
    <w:link w:val="Heading6"/>
    <w:uiPriority w:val="9"/>
    <w:semiHidden/>
    <w:rsid w:val="00E56E77"/>
    <w:rPr>
      <w:rFonts w:asciiTheme="majorHAnsi" w:eastAsiaTheme="majorEastAsia" w:hAnsiTheme="majorHAnsi" w:cstheme="majorBidi"/>
      <w:i/>
      <w:iCs/>
      <w:color w:val="75A675" w:themeColor="accent2" w:themeShade="BF"/>
    </w:rPr>
  </w:style>
  <w:style w:type="character" w:customStyle="1" w:styleId="Heading7Char">
    <w:name w:val="Heading 7 Char"/>
    <w:basedOn w:val="DefaultParagraphFont"/>
    <w:link w:val="Heading7"/>
    <w:uiPriority w:val="9"/>
    <w:semiHidden/>
    <w:rsid w:val="00E56E77"/>
    <w:rPr>
      <w:rFonts w:asciiTheme="majorHAnsi" w:eastAsiaTheme="majorEastAsia" w:hAnsiTheme="majorHAnsi" w:cstheme="majorBidi"/>
      <w:i/>
      <w:iCs/>
      <w:color w:val="75A675" w:themeColor="accent2" w:themeShade="BF"/>
    </w:rPr>
  </w:style>
  <w:style w:type="character" w:customStyle="1" w:styleId="Heading8Char">
    <w:name w:val="Heading 8 Char"/>
    <w:basedOn w:val="DefaultParagraphFont"/>
    <w:link w:val="Heading8"/>
    <w:uiPriority w:val="9"/>
    <w:semiHidden/>
    <w:rsid w:val="00E56E77"/>
    <w:rPr>
      <w:rFonts w:asciiTheme="majorHAnsi" w:eastAsiaTheme="majorEastAsia" w:hAnsiTheme="majorHAnsi" w:cstheme="majorBidi"/>
      <w:i/>
      <w:iCs/>
      <w:color w:val="B0CCB0" w:themeColor="accent2"/>
    </w:rPr>
  </w:style>
  <w:style w:type="character" w:customStyle="1" w:styleId="Heading9Char">
    <w:name w:val="Heading 9 Char"/>
    <w:basedOn w:val="DefaultParagraphFont"/>
    <w:link w:val="Heading9"/>
    <w:uiPriority w:val="9"/>
    <w:semiHidden/>
    <w:rsid w:val="00E56E77"/>
    <w:rPr>
      <w:rFonts w:asciiTheme="majorHAnsi" w:eastAsiaTheme="majorEastAsia" w:hAnsiTheme="majorHAnsi" w:cstheme="majorBidi"/>
      <w:i/>
      <w:iCs/>
      <w:color w:val="B0CCB0" w:themeColor="accent2"/>
      <w:sz w:val="20"/>
      <w:szCs w:val="20"/>
    </w:rPr>
  </w:style>
  <w:style w:type="paragraph" w:styleId="Caption">
    <w:name w:val="caption"/>
    <w:basedOn w:val="Normal"/>
    <w:next w:val="Normal"/>
    <w:uiPriority w:val="35"/>
    <w:semiHidden/>
    <w:unhideWhenUsed/>
    <w:qFormat/>
    <w:rsid w:val="00E56E77"/>
    <w:rPr>
      <w:b/>
      <w:bCs/>
      <w:color w:val="75A675" w:themeColor="accent2" w:themeShade="BF"/>
      <w:sz w:val="18"/>
      <w:szCs w:val="18"/>
    </w:rPr>
  </w:style>
  <w:style w:type="paragraph" w:styleId="Title">
    <w:name w:val="Title"/>
    <w:basedOn w:val="Normal"/>
    <w:next w:val="Normal"/>
    <w:link w:val="TitleChar"/>
    <w:uiPriority w:val="10"/>
    <w:qFormat/>
    <w:rsid w:val="00E56E77"/>
    <w:pPr>
      <w:pBdr>
        <w:top w:val="single" w:sz="48" w:space="0" w:color="B0CCB0" w:themeColor="accent2"/>
        <w:bottom w:val="single" w:sz="48" w:space="0" w:color="B0CCB0" w:themeColor="accent2"/>
      </w:pBdr>
      <w:shd w:val="clear" w:color="auto" w:fill="B0CCB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56E77"/>
    <w:rPr>
      <w:rFonts w:asciiTheme="majorHAnsi" w:eastAsiaTheme="majorEastAsia" w:hAnsiTheme="majorHAnsi" w:cstheme="majorBidi"/>
      <w:i/>
      <w:iCs/>
      <w:color w:val="FFFFFF" w:themeColor="background1"/>
      <w:spacing w:val="10"/>
      <w:sz w:val="48"/>
      <w:szCs w:val="48"/>
      <w:shd w:val="clear" w:color="auto" w:fill="B0CCB0" w:themeFill="accent2"/>
    </w:rPr>
  </w:style>
  <w:style w:type="character" w:styleId="Strong">
    <w:name w:val="Strong"/>
    <w:uiPriority w:val="22"/>
    <w:qFormat/>
    <w:rsid w:val="00E56E77"/>
    <w:rPr>
      <w:b/>
      <w:bCs/>
      <w:spacing w:val="0"/>
    </w:rPr>
  </w:style>
  <w:style w:type="character" w:styleId="Emphasis">
    <w:name w:val="Emphasis"/>
    <w:uiPriority w:val="20"/>
    <w:qFormat/>
    <w:rsid w:val="00E56E77"/>
    <w:rPr>
      <w:rFonts w:asciiTheme="majorHAnsi" w:eastAsiaTheme="majorEastAsia" w:hAnsiTheme="majorHAnsi" w:cstheme="majorBidi"/>
      <w:b/>
      <w:bCs/>
      <w:i/>
      <w:iCs/>
      <w:color w:val="B0CCB0" w:themeColor="accent2"/>
      <w:bdr w:val="single" w:sz="18" w:space="0" w:color="EFF4EF" w:themeColor="accent2" w:themeTint="33"/>
      <w:shd w:val="clear" w:color="auto" w:fill="EFF4EF" w:themeFill="accent2" w:themeFillTint="33"/>
    </w:rPr>
  </w:style>
  <w:style w:type="paragraph" w:styleId="Quote">
    <w:name w:val="Quote"/>
    <w:basedOn w:val="Normal"/>
    <w:next w:val="Normal"/>
    <w:link w:val="QuoteChar"/>
    <w:uiPriority w:val="29"/>
    <w:qFormat/>
    <w:rsid w:val="00E56E77"/>
    <w:rPr>
      <w:i/>
      <w:iCs w:val="0"/>
      <w:color w:val="75A675" w:themeColor="accent2" w:themeShade="BF"/>
    </w:rPr>
  </w:style>
  <w:style w:type="character" w:customStyle="1" w:styleId="QuoteChar">
    <w:name w:val="Quote Char"/>
    <w:basedOn w:val="DefaultParagraphFont"/>
    <w:link w:val="Quote"/>
    <w:uiPriority w:val="29"/>
    <w:rsid w:val="00E56E77"/>
    <w:rPr>
      <w:color w:val="75A675" w:themeColor="accent2" w:themeShade="BF"/>
      <w:sz w:val="20"/>
      <w:szCs w:val="20"/>
    </w:rPr>
  </w:style>
  <w:style w:type="paragraph" w:styleId="IntenseQuote">
    <w:name w:val="Intense Quote"/>
    <w:basedOn w:val="Normal"/>
    <w:next w:val="Normal"/>
    <w:link w:val="IntenseQuoteChar"/>
    <w:uiPriority w:val="30"/>
    <w:qFormat/>
    <w:rsid w:val="00E56E77"/>
    <w:pPr>
      <w:pBdr>
        <w:top w:val="dotted" w:sz="8" w:space="10" w:color="B0CCB0" w:themeColor="accent2"/>
        <w:bottom w:val="dotted" w:sz="8" w:space="10" w:color="B0CCB0" w:themeColor="accent2"/>
      </w:pBdr>
      <w:spacing w:line="300" w:lineRule="auto"/>
      <w:ind w:left="2160" w:right="2160"/>
      <w:jc w:val="center"/>
    </w:pPr>
    <w:rPr>
      <w:rFonts w:asciiTheme="majorHAnsi" w:eastAsiaTheme="majorEastAsia" w:hAnsiTheme="majorHAnsi" w:cstheme="majorBidi"/>
      <w:b/>
      <w:bCs/>
      <w:color w:val="B0CCB0" w:themeColor="accent2"/>
    </w:rPr>
  </w:style>
  <w:style w:type="character" w:customStyle="1" w:styleId="IntenseQuoteChar">
    <w:name w:val="Intense Quote Char"/>
    <w:basedOn w:val="DefaultParagraphFont"/>
    <w:link w:val="IntenseQuote"/>
    <w:uiPriority w:val="30"/>
    <w:rsid w:val="00E56E77"/>
    <w:rPr>
      <w:rFonts w:asciiTheme="majorHAnsi" w:eastAsiaTheme="majorEastAsia" w:hAnsiTheme="majorHAnsi" w:cstheme="majorBidi"/>
      <w:b/>
      <w:bCs/>
      <w:i/>
      <w:iCs/>
      <w:color w:val="B0CCB0" w:themeColor="accent2"/>
      <w:sz w:val="20"/>
      <w:szCs w:val="20"/>
    </w:rPr>
  </w:style>
  <w:style w:type="character" w:styleId="SubtleEmphasis">
    <w:name w:val="Subtle Emphasis"/>
    <w:uiPriority w:val="19"/>
    <w:qFormat/>
    <w:rsid w:val="00E56E77"/>
    <w:rPr>
      <w:rFonts w:asciiTheme="majorHAnsi" w:eastAsiaTheme="majorEastAsia" w:hAnsiTheme="majorHAnsi" w:cstheme="majorBidi"/>
      <w:i/>
      <w:iCs/>
      <w:color w:val="B0CCB0" w:themeColor="accent2"/>
    </w:rPr>
  </w:style>
  <w:style w:type="character" w:styleId="IntenseEmphasis">
    <w:name w:val="Intense Emphasis"/>
    <w:uiPriority w:val="21"/>
    <w:qFormat/>
    <w:rsid w:val="00E56E77"/>
    <w:rPr>
      <w:rFonts w:asciiTheme="majorHAnsi" w:eastAsiaTheme="majorEastAsia" w:hAnsiTheme="majorHAnsi" w:cstheme="majorBidi"/>
      <w:b/>
      <w:bCs/>
      <w:i/>
      <w:iCs/>
      <w:dstrike w:val="0"/>
      <w:color w:val="FFFFFF" w:themeColor="background1"/>
      <w:bdr w:val="single" w:sz="18" w:space="0" w:color="B0CCB0" w:themeColor="accent2"/>
      <w:shd w:val="clear" w:color="auto" w:fill="B0CCB0" w:themeFill="accent2"/>
      <w:vertAlign w:val="baseline"/>
    </w:rPr>
  </w:style>
  <w:style w:type="character" w:styleId="SubtleReference">
    <w:name w:val="Subtle Reference"/>
    <w:uiPriority w:val="31"/>
    <w:qFormat/>
    <w:rsid w:val="00E56E77"/>
    <w:rPr>
      <w:i/>
      <w:iCs/>
      <w:smallCaps/>
      <w:color w:val="B0CCB0" w:themeColor="accent2"/>
      <w:u w:color="B0CCB0" w:themeColor="accent2"/>
    </w:rPr>
  </w:style>
  <w:style w:type="character" w:styleId="IntenseReference">
    <w:name w:val="Intense Reference"/>
    <w:uiPriority w:val="32"/>
    <w:qFormat/>
    <w:rsid w:val="00E56E77"/>
    <w:rPr>
      <w:b/>
      <w:bCs/>
      <w:i/>
      <w:iCs/>
      <w:smallCaps/>
      <w:color w:val="B0CCB0" w:themeColor="accent2"/>
      <w:u w:color="B0CCB0" w:themeColor="accent2"/>
    </w:rPr>
  </w:style>
  <w:style w:type="character" w:styleId="BookTitle">
    <w:name w:val="Book Title"/>
    <w:uiPriority w:val="33"/>
    <w:qFormat/>
    <w:rsid w:val="00E56E77"/>
    <w:rPr>
      <w:rFonts w:asciiTheme="majorHAnsi" w:eastAsiaTheme="majorEastAsia" w:hAnsiTheme="majorHAnsi" w:cstheme="majorBidi"/>
      <w:b/>
      <w:bCs/>
      <w:i/>
      <w:iCs/>
      <w:smallCaps/>
      <w:color w:val="75A675" w:themeColor="accent2" w:themeShade="BF"/>
      <w:u w:val="single"/>
    </w:rPr>
  </w:style>
  <w:style w:type="paragraph" w:styleId="TOCHeading">
    <w:name w:val="TOC Heading"/>
    <w:basedOn w:val="Heading1"/>
    <w:next w:val="Normal"/>
    <w:uiPriority w:val="39"/>
    <w:semiHidden/>
    <w:unhideWhenUsed/>
    <w:qFormat/>
    <w:rsid w:val="00E56E77"/>
    <w:pPr>
      <w:outlineLvl w:val="9"/>
    </w:pPr>
    <w:rPr>
      <w:lang w:bidi="en-US"/>
    </w:rPr>
  </w:style>
  <w:style w:type="paragraph" w:styleId="TOC1">
    <w:name w:val="toc 1"/>
    <w:basedOn w:val="Normal"/>
    <w:next w:val="Normal"/>
    <w:autoRedefine/>
    <w:uiPriority w:val="39"/>
    <w:rsid w:val="003D156F"/>
    <w:pPr>
      <w:tabs>
        <w:tab w:val="right" w:leader="dot" w:pos="9350"/>
      </w:tabs>
      <w:spacing w:after="100"/>
    </w:pPr>
  </w:style>
  <w:style w:type="paragraph" w:styleId="TOC2">
    <w:name w:val="toc 2"/>
    <w:basedOn w:val="Normal"/>
    <w:next w:val="Normal"/>
    <w:autoRedefine/>
    <w:uiPriority w:val="39"/>
    <w:rsid w:val="0099571B"/>
    <w:pPr>
      <w:spacing w:after="100"/>
      <w:ind w:left="200"/>
    </w:pPr>
  </w:style>
  <w:style w:type="character" w:customStyle="1" w:styleId="NoSpacingChar">
    <w:name w:val="No Spacing Char"/>
    <w:basedOn w:val="DefaultParagraphFont"/>
    <w:link w:val="NoSpacing"/>
    <w:uiPriority w:val="1"/>
    <w:rsid w:val="00756EF8"/>
    <w:rPr>
      <w:i/>
      <w:iCs/>
      <w:sz w:val="20"/>
      <w:szCs w:val="20"/>
    </w:rPr>
  </w:style>
  <w:style w:type="table" w:customStyle="1" w:styleId="TableGrid1">
    <w:name w:val="Table Grid1"/>
    <w:basedOn w:val="TableNormal"/>
    <w:next w:val="TableGrid"/>
    <w:uiPriority w:val="39"/>
    <w:rsid w:val="001A132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AE605B"/>
    <w:pPr>
      <w:pBdr>
        <w:left w:val="single" w:sz="4" w:space="2" w:color="B0CCB0"/>
        <w:bottom w:val="single" w:sz="4" w:space="2" w:color="B0CCB0"/>
      </w:pBdr>
      <w:spacing w:before="200" w:after="100" w:line="240" w:lineRule="auto"/>
      <w:ind w:left="86"/>
      <w:contextualSpacing/>
      <w:outlineLvl w:val="3"/>
    </w:pPr>
    <w:rPr>
      <w:rFonts w:ascii="Century Gothic" w:eastAsia="Times New Roman" w:hAnsi="Century Gothic" w:cs="Times New Roman"/>
      <w:b/>
      <w:bCs/>
      <w:color w:val="75A675"/>
      <w:sz w:val="22"/>
      <w:szCs w:val="22"/>
    </w:rPr>
  </w:style>
  <w:style w:type="character" w:customStyle="1" w:styleId="FooterChar">
    <w:name w:val="Footer Char"/>
    <w:basedOn w:val="DefaultParagraphFont"/>
    <w:link w:val="Footer"/>
    <w:uiPriority w:val="99"/>
    <w:rsid w:val="00AE605B"/>
    <w:rPr>
      <w:iCs/>
      <w:sz w:val="20"/>
      <w:szCs w:val="20"/>
    </w:rPr>
  </w:style>
  <w:style w:type="table" w:customStyle="1" w:styleId="TableGrid2">
    <w:name w:val="Table Grid2"/>
    <w:basedOn w:val="TableNormal"/>
    <w:next w:val="TableGrid"/>
    <w:uiPriority w:val="99"/>
    <w:rsid w:val="00AE605B"/>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D4AC7"/>
    <w:pPr>
      <w:spacing w:after="100"/>
      <w:ind w:left="400"/>
    </w:pPr>
  </w:style>
  <w:style w:type="table" w:customStyle="1" w:styleId="TableGrid3">
    <w:name w:val="Table Grid3"/>
    <w:basedOn w:val="TableNormal"/>
    <w:next w:val="TableGrid"/>
    <w:uiPriority w:val="99"/>
    <w:rsid w:val="004D396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4B00"/>
    <w:pPr>
      <w:spacing w:after="0" w:line="240" w:lineRule="auto"/>
    </w:pPr>
    <w:rPr>
      <w:iCs/>
      <w:sz w:val="20"/>
      <w:szCs w:val="20"/>
    </w:rPr>
  </w:style>
  <w:style w:type="table" w:customStyle="1" w:styleId="TableGrid31">
    <w:name w:val="Table Grid31"/>
    <w:basedOn w:val="TableNormal"/>
    <w:next w:val="TableGrid"/>
    <w:uiPriority w:val="39"/>
    <w:rsid w:val="002F58E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EA5C7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lolafco.org/yolo-local-government-website-transparency-scorec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ca.gov/ard_local_info_resource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Elk%20Grove\CEQA\1_Templates%20and%20Forms\IS%20template.dot"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[insert]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58EE70-3899-4137-85DB-208FE711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 template.dot</Template>
  <TotalTime>295</TotalTime>
  <Pages>16</Pages>
  <Words>6496</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MUNICIPAL SERVICE REVIEW AND SPHERE OF INFLUENCE STUDY</vt:lpstr>
    </vt:vector>
  </TitlesOfParts>
  <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SERVICE REVIEW AND SPHERE OF INFLUENCE STUDY</dc:title>
  <dc:subject>FOR THE</dc:subject>
  <dc:creator>YOLO LOCAL AGENCY FORMATION COMMISSION</dc:creator>
  <cp:lastModifiedBy>Christine Crawford</cp:lastModifiedBy>
  <cp:revision>10</cp:revision>
  <cp:lastPrinted>2019-08-23T16:57:00Z</cp:lastPrinted>
  <dcterms:created xsi:type="dcterms:W3CDTF">2022-10-28T21:47:00Z</dcterms:created>
  <dcterms:modified xsi:type="dcterms:W3CDTF">2022-10-31T22:24:00Z</dcterms:modified>
</cp:coreProperties>
</file>